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97A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right="0"/>
        <w:jc w:val="both"/>
        <w:textAlignment w:val="auto"/>
        <w:rPr>
          <w:rFonts w:hint="eastAsia" w:ascii="方正小标宋简体" w:hAnsi="方正小标宋简体" w:eastAsia="方正小标宋简体" w:cs="方正小标宋简体"/>
          <w:b w:val="0"/>
          <w:bCs w:val="0"/>
          <w:color w:val="000000"/>
          <w:sz w:val="28"/>
          <w:szCs w:val="28"/>
          <w:lang w:val="en-US" w:eastAsia="zh-CN"/>
        </w:rPr>
      </w:pPr>
      <w:r>
        <w:rPr>
          <w:rFonts w:hint="eastAsia" w:ascii="方正小标宋简体" w:hAnsi="方正小标宋简体" w:eastAsia="方正小标宋简体" w:cs="方正小标宋简体"/>
          <w:b w:val="0"/>
          <w:bCs w:val="0"/>
          <w:color w:val="000000"/>
          <w:sz w:val="28"/>
          <w:szCs w:val="28"/>
          <w:lang w:val="en-US" w:eastAsia="zh-CN"/>
        </w:rPr>
        <w:t>附件：</w:t>
      </w:r>
    </w:p>
    <w:p w14:paraId="6AAAC8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88" w:lineRule="atLeast"/>
        <w:ind w:right="0"/>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rPr>
        <w:t>珠海市生产力促进中心2026-2027年科技金融协作服务</w:t>
      </w:r>
      <w:r>
        <w:rPr>
          <w:rFonts w:hint="eastAsia" w:ascii="方正小标宋简体" w:hAnsi="方正小标宋简体" w:eastAsia="方正小标宋简体" w:cs="方正小标宋简体"/>
          <w:color w:val="000000"/>
          <w:sz w:val="44"/>
          <w:szCs w:val="44"/>
          <w:lang w:val="en-US" w:eastAsia="zh-CN"/>
        </w:rPr>
        <w:t>采购需求</w:t>
      </w:r>
    </w:p>
    <w:p w14:paraId="3D08B646">
      <w:pPr>
        <w:rPr>
          <w:rFonts w:hint="eastAsia" w:ascii="方正小标宋简体" w:hAnsi="方正小标宋简体" w:eastAsia="方正小标宋简体" w:cs="方正小标宋简体"/>
          <w:color w:val="000000"/>
          <w:sz w:val="44"/>
          <w:szCs w:val="44"/>
          <w:lang w:val="en-US" w:eastAsia="zh-CN"/>
        </w:rPr>
      </w:pPr>
    </w:p>
    <w:p w14:paraId="2FC7033E">
      <w:pPr>
        <w:pStyle w:val="6"/>
        <w:keepNext w:val="0"/>
        <w:keepLines w:val="0"/>
        <w:pageBreakBefore w:val="0"/>
        <w:numPr>
          <w:ilvl w:val="0"/>
          <w:numId w:val="0"/>
        </w:numPr>
        <w:kinsoku/>
        <w:wordWrap/>
        <w:overflowPunct/>
        <w:topLinePunct w:val="0"/>
        <w:bidi w:val="0"/>
        <w:adjustRightInd/>
        <w:snapToGrid/>
        <w:spacing w:line="560" w:lineRule="exact"/>
        <w:ind w:right="0" w:rightChars="0" w:firstLine="640" w:firstLineChars="200"/>
        <w:jc w:val="both"/>
        <w:textAlignment w:val="auto"/>
        <w:rPr>
          <w:rFonts w:hint="eastAsia" w:cs="仿宋_GB2312"/>
          <w:kern w:val="2"/>
          <w:sz w:val="32"/>
          <w:szCs w:val="32"/>
          <w:lang w:val="en-US" w:eastAsia="zh-CN" w:bidi="ar-SA"/>
        </w:rPr>
      </w:pPr>
      <w:r>
        <w:rPr>
          <w:rFonts w:hint="eastAsia" w:cs="仿宋_GB2312"/>
          <w:kern w:val="2"/>
          <w:sz w:val="32"/>
          <w:szCs w:val="32"/>
          <w:lang w:val="en-US" w:eastAsia="zh-CN" w:bidi="ar-SA"/>
        </w:rPr>
        <w:t>本项目为保障珠海市生产力促进中心</w:t>
      </w:r>
      <w:r>
        <w:rPr>
          <w:rFonts w:hint="eastAsia" w:cs="仿宋_GB2312"/>
          <w:kern w:val="2"/>
          <w:sz w:val="32"/>
          <w:szCs w:val="32"/>
          <w:highlight w:val="none"/>
          <w:lang w:val="en-US" w:eastAsia="zh-CN" w:bidi="ar-SA"/>
        </w:rPr>
        <w:t>年度科技金融工作顺利开展，现通过</w:t>
      </w:r>
      <w:bookmarkStart w:id="3" w:name="_GoBack"/>
      <w:bookmarkEnd w:id="3"/>
      <w:r>
        <w:rPr>
          <w:rFonts w:hint="eastAsia" w:cs="仿宋_GB2312"/>
          <w:kern w:val="2"/>
          <w:sz w:val="32"/>
          <w:szCs w:val="32"/>
          <w:highlight w:val="none"/>
          <w:lang w:val="en-US" w:eastAsia="zh-CN" w:bidi="ar-SA"/>
        </w:rPr>
        <w:t>选取专业服</w:t>
      </w:r>
      <w:r>
        <w:rPr>
          <w:rFonts w:hint="eastAsia" w:cs="仿宋_GB2312"/>
          <w:kern w:val="2"/>
          <w:sz w:val="32"/>
          <w:szCs w:val="32"/>
          <w:lang w:val="en-US" w:eastAsia="zh-CN" w:bidi="ar-SA"/>
        </w:rPr>
        <w:t>务商提供全周期协作服务，具体要求如下：</w:t>
      </w:r>
    </w:p>
    <w:p w14:paraId="6B9C4C3C">
      <w:pPr>
        <w:pStyle w:val="3"/>
        <w:numPr>
          <w:ilvl w:val="0"/>
          <w:numId w:val="0"/>
        </w:numPr>
        <w:topLinePunct w:val="0"/>
        <w:ind w:left="0" w:leftChars="0" w:firstLine="640"/>
        <w:rPr>
          <w:rFonts w:hint="eastAsia" w:ascii="方正黑体_GBK" w:hAnsi="方正黑体_GBK" w:eastAsia="方正黑体_GBK" w:cs="方正黑体_GBK"/>
          <w:b w:val="0"/>
          <w:highlight w:val="none"/>
        </w:rPr>
      </w:pPr>
      <w:r>
        <w:rPr>
          <w:rFonts w:hint="eastAsia" w:ascii="方正黑体_GBK" w:hAnsi="方正黑体_GBK" w:eastAsia="方正黑体_GBK" w:cs="方正黑体_GBK"/>
          <w:highlight w:val="none"/>
          <w:lang w:eastAsia="zh-CN"/>
        </w:rPr>
        <w:t>一、</w:t>
      </w:r>
      <w:r>
        <w:rPr>
          <w:rFonts w:hint="eastAsia" w:ascii="方正黑体_GBK" w:hAnsi="方正黑体_GBK" w:eastAsia="方正黑体_GBK" w:cs="方正黑体_GBK"/>
          <w:highlight w:val="none"/>
        </w:rPr>
        <w:t>服务内容</w:t>
      </w:r>
    </w:p>
    <w:p w14:paraId="392B3695">
      <w:pPr>
        <w:pStyle w:val="3"/>
        <w:numPr>
          <w:ilvl w:val="0"/>
          <w:numId w:val="0"/>
        </w:numPr>
        <w:topLinePunct w:val="0"/>
        <w:ind w:left="0" w:leftChars="0" w:firstLine="64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1.收集、整理和归档各类材料、合同文件、研究报告等，确保资料的完整性和规范性。</w:t>
      </w:r>
    </w:p>
    <w:p w14:paraId="212C6576">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2.协助珠海分中心财务管理相关工作，定期跟踪财务进展情况，及时发现并反馈财务管理中出现的问题，确保财务管理规范、有序。</w:t>
      </w:r>
    </w:p>
    <w:p w14:paraId="506F03CA">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3.与甲方的其他部门保持密切沟通，协调科技金融业务与其他业务之间的关系，促进甲方部门间的协作与配合。</w:t>
      </w:r>
    </w:p>
    <w:p w14:paraId="710C8260">
      <w:pPr>
        <w:pStyle w:val="2"/>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4.协助甲方组织科技金融相关的研讨会、座谈会、培训讲座等活动，包括会议筹备、议程安排、参会人员邀请等工作。</w:t>
      </w:r>
    </w:p>
    <w:p w14:paraId="234CFFB3">
      <w:pPr>
        <w:pStyle w:val="2"/>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5.完成甲方交办的其他临时性、综合性工作任务，积极配合甲方团队完成各项工作目标。</w:t>
      </w:r>
    </w:p>
    <w:p w14:paraId="275FC85A">
      <w:pPr>
        <w:pStyle w:val="3"/>
        <w:numPr>
          <w:ilvl w:val="0"/>
          <w:numId w:val="0"/>
        </w:numPr>
        <w:topLinePunct w:val="0"/>
        <w:ind w:left="0" w:leftChars="0" w:firstLine="640"/>
        <w:rPr>
          <w:rFonts w:hint="eastAsia" w:ascii="方正黑体_GBK" w:hAnsi="方正黑体_GBK" w:eastAsia="方正黑体_GBK" w:cs="方正黑体_GBK"/>
          <w:b w:val="0"/>
          <w:bCs w:val="0"/>
          <w:kern w:val="2"/>
          <w:sz w:val="32"/>
          <w:szCs w:val="32"/>
          <w:lang w:val="en-US" w:eastAsia="zh-CN" w:bidi="ar-SA"/>
        </w:rPr>
      </w:pPr>
      <w:r>
        <w:rPr>
          <w:rFonts w:hint="eastAsia" w:ascii="方正黑体_GBK" w:hAnsi="方正黑体_GBK" w:eastAsia="方正黑体_GBK" w:cs="方正黑体_GBK"/>
          <w:b w:val="0"/>
          <w:bCs w:val="0"/>
          <w:kern w:val="2"/>
          <w:sz w:val="32"/>
          <w:szCs w:val="32"/>
          <w:lang w:val="en-US" w:eastAsia="zh-CN" w:bidi="ar-SA"/>
        </w:rPr>
        <w:t>二、评标定标方法</w:t>
      </w:r>
    </w:p>
    <w:p w14:paraId="3C86DDD3">
      <w:pPr>
        <w:pStyle w:val="5"/>
        <w:ind w:firstLine="640" w:firstLineChars="200"/>
        <w:rPr>
          <w:rFonts w:ascii="Times New Roman" w:hAnsi="Times New Roman" w:eastAsia="仿宋_GB2312" w:cs="仿宋_GB2312"/>
          <w:sz w:val="32"/>
          <w:szCs w:val="32"/>
        </w:rPr>
      </w:pPr>
      <w:r>
        <w:rPr>
          <w:rFonts w:ascii="Times New Roman" w:hAnsi="Times New Roman" w:eastAsia="仿宋_GB2312" w:cs="仿宋_GB2312"/>
          <w:sz w:val="32"/>
          <w:szCs w:val="32"/>
        </w:rPr>
        <w:t>本项目采用综合评分法选定供应商。综合评分法是指投标响应文件满足采购公告和采购需求文档的全部要求，且按照评审因素的量化指标得分最高的供应商为成交候选人的评标定标方法（最低报价不是成交的唯一依据）。以下为本项目的具体评分要素和分值：</w:t>
      </w:r>
    </w:p>
    <w:p w14:paraId="1C930496">
      <w:pPr>
        <w:pStyle w:val="5"/>
        <w:ind w:firstLine="640" w:firstLineChars="200"/>
        <w:rPr>
          <w:rFonts w:ascii="Times New Roman" w:hAnsi="Times New Roman" w:eastAsia="仿宋_GB2312" w:cs="仿宋_GB2312"/>
          <w:sz w:val="32"/>
          <w:szCs w:val="32"/>
        </w:rPr>
      </w:pPr>
    </w:p>
    <w:p w14:paraId="19944C08">
      <w:pPr>
        <w:pStyle w:val="5"/>
        <w:pageBreakBefore w:val="0"/>
        <w:kinsoku/>
        <w:wordWrap/>
        <w:overflowPunct/>
        <w:topLinePunct w:val="0"/>
        <w:bidi w:val="0"/>
        <w:snapToGrid/>
        <w:spacing w:line="579" w:lineRule="exact"/>
        <w:ind w:right="0" w:rightChars="0"/>
        <w:jc w:val="center"/>
        <w:textAlignment w:val="auto"/>
        <w:rPr>
          <w:rFonts w:hint="eastAsia" w:ascii="楷体" w:hAnsi="楷体" w:eastAsia="楷体" w:cs="楷体"/>
          <w:b/>
          <w:bCs/>
          <w:color w:val="auto"/>
          <w:sz w:val="32"/>
          <w:szCs w:val="32"/>
          <w:highlight w:val="none"/>
        </w:rPr>
      </w:pPr>
      <w:r>
        <w:rPr>
          <w:rFonts w:hint="eastAsia" w:ascii="楷体" w:hAnsi="楷体" w:eastAsia="楷体" w:cs="楷体"/>
          <w:b/>
          <w:bCs/>
          <w:color w:val="auto"/>
          <w:sz w:val="32"/>
          <w:szCs w:val="32"/>
          <w:highlight w:val="none"/>
        </w:rPr>
        <w:t>综合评分表</w:t>
      </w:r>
    </w:p>
    <w:p w14:paraId="27AA9234">
      <w:pPr>
        <w:spacing w:line="134" w:lineRule="exact"/>
      </w:pPr>
    </w:p>
    <w:tbl>
      <w:tblPr>
        <w:tblStyle w:val="9"/>
        <w:tblW w:w="5511" w:type="pct"/>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80"/>
        <w:gridCol w:w="1056"/>
        <w:gridCol w:w="6425"/>
      </w:tblGrid>
      <w:tr w14:paraId="464FF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917" w:type="pct"/>
            <w:vAlign w:val="center"/>
          </w:tcPr>
          <w:p w14:paraId="787D68F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评审因素</w:t>
            </w:r>
          </w:p>
        </w:tc>
        <w:tc>
          <w:tcPr>
            <w:tcW w:w="4082" w:type="pct"/>
            <w:gridSpan w:val="2"/>
            <w:vAlign w:val="center"/>
          </w:tcPr>
          <w:p w14:paraId="27CD06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评审标准</w:t>
            </w:r>
          </w:p>
        </w:tc>
      </w:tr>
      <w:tr w14:paraId="03DD5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917" w:type="pct"/>
            <w:vAlign w:val="center"/>
          </w:tcPr>
          <w:p w14:paraId="2EA7D9A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分值构成</w:t>
            </w:r>
          </w:p>
        </w:tc>
        <w:tc>
          <w:tcPr>
            <w:tcW w:w="4082" w:type="pct"/>
            <w:gridSpan w:val="2"/>
            <w:vAlign w:val="center"/>
          </w:tcPr>
          <w:p w14:paraId="454C1B04">
            <w:pPr>
              <w:keepNext w:val="0"/>
              <w:keepLines w:val="0"/>
              <w:pageBreakBefore w:val="0"/>
              <w:widowControl w:val="0"/>
              <w:kinsoku/>
              <w:wordWrap/>
              <w:overflowPunct/>
              <w:topLinePunct w:val="0"/>
              <w:autoSpaceDE/>
              <w:autoSpaceDN/>
              <w:bidi w:val="0"/>
              <w:adjustRightInd/>
              <w:snapToGrid/>
              <w:spacing w:line="400" w:lineRule="exact"/>
              <w:ind w:left="2520" w:hanging="2520" w:hangingChars="900"/>
              <w:jc w:val="left"/>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总分100分</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其中</w:t>
            </w:r>
            <w:r>
              <w:rPr>
                <w:rFonts w:hint="eastAsia" w:ascii="仿宋" w:hAnsi="仿宋" w:eastAsia="仿宋" w:cs="仿宋"/>
                <w:sz w:val="28"/>
                <w:szCs w:val="28"/>
                <w:highlight w:val="none"/>
                <w:lang w:eastAsia="zh-CN"/>
              </w:rPr>
              <w:t>：</w:t>
            </w:r>
          </w:p>
          <w:p w14:paraId="4321DA5B">
            <w:pPr>
              <w:keepNext w:val="0"/>
              <w:keepLines w:val="0"/>
              <w:pageBreakBefore w:val="0"/>
              <w:widowControl w:val="0"/>
              <w:kinsoku/>
              <w:wordWrap/>
              <w:overflowPunct/>
              <w:topLinePunct w:val="0"/>
              <w:autoSpaceDE/>
              <w:autoSpaceDN/>
              <w:bidi w:val="0"/>
              <w:adjustRightInd/>
              <w:snapToGrid/>
              <w:spacing w:line="400" w:lineRule="exact"/>
              <w:ind w:left="2520" w:hanging="2520" w:hangingChars="900"/>
              <w:jc w:val="lef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技术部分：</w:t>
            </w:r>
            <w:r>
              <w:rPr>
                <w:rFonts w:hint="eastAsia" w:ascii="仿宋" w:hAnsi="仿宋" w:eastAsia="仿宋" w:cs="仿宋"/>
                <w:sz w:val="28"/>
                <w:szCs w:val="28"/>
                <w:highlight w:val="none"/>
                <w:lang w:val="en-US" w:eastAsia="zh-CN"/>
              </w:rPr>
              <w:t>60</w:t>
            </w:r>
            <w:r>
              <w:rPr>
                <w:rFonts w:hint="eastAsia" w:ascii="仿宋" w:hAnsi="仿宋" w:eastAsia="仿宋" w:cs="仿宋"/>
                <w:sz w:val="28"/>
                <w:szCs w:val="28"/>
                <w:highlight w:val="none"/>
              </w:rPr>
              <w:t>分；商务部分</w:t>
            </w:r>
            <w:r>
              <w:rPr>
                <w:rFonts w:hint="eastAsia" w:ascii="仿宋" w:hAnsi="仿宋" w:eastAsia="仿宋" w:cs="仿宋"/>
                <w:sz w:val="28"/>
                <w:szCs w:val="28"/>
                <w:highlight w:val="none"/>
                <w:lang w:val="en-US" w:eastAsia="zh-CN"/>
              </w:rPr>
              <w:t>：30</w:t>
            </w:r>
            <w:r>
              <w:rPr>
                <w:rFonts w:hint="eastAsia" w:ascii="仿宋" w:hAnsi="仿宋" w:eastAsia="仿宋" w:cs="仿宋"/>
                <w:sz w:val="28"/>
                <w:szCs w:val="28"/>
                <w:highlight w:val="none"/>
              </w:rPr>
              <w:t>分；投标报价部分</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w:t>
            </w:r>
          </w:p>
        </w:tc>
      </w:tr>
      <w:tr w14:paraId="2CA41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3" w:hRule="atLeast"/>
        </w:trPr>
        <w:tc>
          <w:tcPr>
            <w:tcW w:w="917" w:type="pct"/>
            <w:vMerge w:val="restart"/>
            <w:vAlign w:val="center"/>
          </w:tcPr>
          <w:p w14:paraId="63F6C04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技术部分</w:t>
            </w:r>
          </w:p>
          <w:p w14:paraId="2AD4A03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val="en-US" w:eastAsia="zh-CN"/>
              </w:rPr>
              <w:t>60</w:t>
            </w:r>
            <w:r>
              <w:rPr>
                <w:rFonts w:hint="eastAsia" w:ascii="仿宋" w:hAnsi="仿宋" w:eastAsia="仿宋" w:cs="仿宋"/>
                <w:b/>
                <w:bCs/>
                <w:sz w:val="28"/>
                <w:szCs w:val="28"/>
                <w:highlight w:val="none"/>
              </w:rPr>
              <w:t>分）</w:t>
            </w:r>
          </w:p>
        </w:tc>
        <w:tc>
          <w:tcPr>
            <w:tcW w:w="576" w:type="pct"/>
            <w:vAlign w:val="center"/>
          </w:tcPr>
          <w:p w14:paraId="2EF47D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对项目需求的理解</w:t>
            </w:r>
          </w:p>
          <w:p w14:paraId="36DDA53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分）</w:t>
            </w:r>
          </w:p>
        </w:tc>
        <w:tc>
          <w:tcPr>
            <w:tcW w:w="3505" w:type="pct"/>
          </w:tcPr>
          <w:p w14:paraId="2F91438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根据供应商对该项目需求理解程度（包括但不限于对项目内容等需求的了解、掌握程度以及对本项目实施思路和实施原则等的总体规划描述）进行评分：</w:t>
            </w:r>
          </w:p>
          <w:p w14:paraId="0F1CE4E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20</w:t>
            </w:r>
            <w:r>
              <w:rPr>
                <w:rFonts w:hint="eastAsia" w:ascii="仿宋" w:hAnsi="仿宋" w:eastAsia="仿宋" w:cs="仿宋"/>
                <w:b/>
                <w:bCs/>
                <w:sz w:val="28"/>
                <w:szCs w:val="28"/>
                <w:highlight w:val="none"/>
              </w:rPr>
              <w:t>分</w:t>
            </w:r>
            <w:r>
              <w:rPr>
                <w:rFonts w:hint="eastAsia" w:ascii="仿宋" w:hAnsi="仿宋" w:eastAsia="仿宋" w:cs="仿宋"/>
                <w:sz w:val="28"/>
                <w:szCs w:val="28"/>
                <w:highlight w:val="none"/>
              </w:rPr>
              <w:t>：能充分、准确理解项目内容，方案能够深度贴合全流程工作要求，工作目标清晰、整体规划科学、阶段划分合理，完全匹配本项目服务需求</w:t>
            </w:r>
            <w:r>
              <w:rPr>
                <w:rFonts w:hint="eastAsia" w:ascii="仿宋" w:hAnsi="仿宋" w:eastAsia="仿宋" w:cs="仿宋"/>
                <w:sz w:val="28"/>
                <w:szCs w:val="28"/>
                <w:highlight w:val="none"/>
                <w:lang w:val="en-US" w:eastAsia="zh-CN"/>
              </w:rPr>
              <w:t>的，</w:t>
            </w:r>
            <w:r>
              <w:rPr>
                <w:rFonts w:hint="eastAsia" w:ascii="仿宋" w:hAnsi="仿宋" w:eastAsia="仿宋" w:cs="仿宋"/>
                <w:sz w:val="28"/>
                <w:szCs w:val="28"/>
                <w:highlight w:val="none"/>
              </w:rPr>
              <w:t>得</w:t>
            </w: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分。</w:t>
            </w:r>
          </w:p>
          <w:p w14:paraId="5663AE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15</w:t>
            </w:r>
            <w:r>
              <w:rPr>
                <w:rFonts w:hint="eastAsia" w:ascii="仿宋" w:hAnsi="仿宋" w:eastAsia="仿宋" w:cs="仿宋"/>
                <w:b/>
                <w:bCs/>
                <w:sz w:val="28"/>
                <w:szCs w:val="28"/>
                <w:highlight w:val="none"/>
              </w:rPr>
              <w:t>分</w:t>
            </w:r>
            <w:r>
              <w:rPr>
                <w:rFonts w:hint="eastAsia" w:ascii="仿宋" w:hAnsi="仿宋" w:eastAsia="仿宋" w:cs="仿宋"/>
                <w:sz w:val="28"/>
                <w:szCs w:val="28"/>
                <w:highlight w:val="none"/>
              </w:rPr>
              <w:t>：较准确理解项目内容，方案</w:t>
            </w:r>
            <w:r>
              <w:rPr>
                <w:rFonts w:hint="eastAsia" w:ascii="仿宋" w:hAnsi="仿宋" w:eastAsia="仿宋" w:cs="仿宋"/>
                <w:sz w:val="28"/>
                <w:szCs w:val="28"/>
                <w:highlight w:val="none"/>
                <w:lang w:val="en-US" w:eastAsia="zh-CN"/>
              </w:rPr>
              <w:t>中工作流程</w:t>
            </w:r>
            <w:r>
              <w:rPr>
                <w:rFonts w:hint="eastAsia" w:ascii="仿宋" w:hAnsi="仿宋" w:eastAsia="仿宋" w:cs="仿宋"/>
                <w:sz w:val="28"/>
                <w:szCs w:val="28"/>
                <w:highlight w:val="none"/>
              </w:rPr>
              <w:t>整体完整，</w:t>
            </w:r>
            <w:r>
              <w:rPr>
                <w:rFonts w:hint="eastAsia" w:ascii="仿宋" w:hAnsi="仿宋" w:eastAsia="仿宋" w:cs="仿宋"/>
                <w:sz w:val="28"/>
                <w:szCs w:val="28"/>
                <w:highlight w:val="none"/>
                <w:lang w:val="en-US" w:eastAsia="zh-CN"/>
              </w:rPr>
              <w:t>能较好</w:t>
            </w:r>
            <w:r>
              <w:rPr>
                <w:rFonts w:hint="eastAsia" w:ascii="仿宋" w:hAnsi="仿宋" w:eastAsia="仿宋" w:cs="仿宋"/>
                <w:sz w:val="28"/>
                <w:szCs w:val="28"/>
                <w:highlight w:val="none"/>
              </w:rPr>
              <w:t>匹配项目需求，细节</w:t>
            </w:r>
            <w:r>
              <w:rPr>
                <w:rFonts w:hint="eastAsia" w:ascii="仿宋" w:hAnsi="仿宋" w:eastAsia="仿宋" w:cs="仿宋"/>
                <w:sz w:val="28"/>
                <w:szCs w:val="28"/>
                <w:highlight w:val="none"/>
                <w:lang w:val="en-US" w:eastAsia="zh-CN"/>
              </w:rPr>
              <w:t>较完善</w:t>
            </w:r>
            <w:r>
              <w:rPr>
                <w:rFonts w:hint="eastAsia" w:ascii="仿宋" w:hAnsi="仿宋" w:eastAsia="仿宋" w:cs="仿宋"/>
                <w:sz w:val="28"/>
                <w:szCs w:val="28"/>
                <w:highlight w:val="none"/>
              </w:rPr>
              <w:t>的，得1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分。</w:t>
            </w:r>
          </w:p>
          <w:p w14:paraId="23EF8A9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10</w:t>
            </w:r>
            <w:r>
              <w:rPr>
                <w:rFonts w:hint="eastAsia" w:ascii="仿宋" w:hAnsi="仿宋" w:eastAsia="仿宋" w:cs="仿宋"/>
                <w:b/>
                <w:bCs/>
                <w:sz w:val="28"/>
                <w:szCs w:val="28"/>
                <w:highlight w:val="none"/>
              </w:rPr>
              <w:t>分</w:t>
            </w:r>
            <w:r>
              <w:rPr>
                <w:rFonts w:hint="eastAsia" w:ascii="仿宋" w:hAnsi="仿宋" w:eastAsia="仿宋" w:cs="仿宋"/>
                <w:sz w:val="28"/>
                <w:szCs w:val="28"/>
                <w:highlight w:val="none"/>
              </w:rPr>
              <w:t>：基本能理解项目内容，方案</w:t>
            </w:r>
            <w:r>
              <w:rPr>
                <w:rFonts w:hint="eastAsia" w:ascii="仿宋" w:hAnsi="仿宋" w:eastAsia="仿宋" w:cs="仿宋"/>
                <w:sz w:val="28"/>
                <w:szCs w:val="28"/>
                <w:highlight w:val="none"/>
                <w:lang w:val="en-US" w:eastAsia="zh-CN"/>
              </w:rPr>
              <w:t>相对</w:t>
            </w:r>
            <w:r>
              <w:rPr>
                <w:rFonts w:hint="eastAsia" w:ascii="仿宋" w:hAnsi="仿宋" w:eastAsia="仿宋" w:cs="仿宋"/>
                <w:sz w:val="28"/>
                <w:szCs w:val="28"/>
                <w:highlight w:val="none"/>
              </w:rPr>
              <w:t>完整，基本匹配项目需求，个别细节不完善的，得</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w:t>
            </w:r>
          </w:p>
          <w:p w14:paraId="507D5AF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0分</w:t>
            </w:r>
            <w:r>
              <w:rPr>
                <w:rFonts w:hint="eastAsia" w:ascii="仿宋" w:hAnsi="仿宋" w:eastAsia="仿宋" w:cs="仿宋"/>
                <w:sz w:val="28"/>
                <w:szCs w:val="28"/>
                <w:highlight w:val="none"/>
              </w:rPr>
              <w:t>：未提供</w:t>
            </w:r>
            <w:r>
              <w:rPr>
                <w:rFonts w:hint="eastAsia" w:ascii="仿宋" w:hAnsi="仿宋" w:eastAsia="仿宋" w:cs="仿宋"/>
                <w:sz w:val="28"/>
                <w:szCs w:val="28"/>
                <w:highlight w:val="none"/>
                <w:lang w:val="en-US" w:eastAsia="zh-CN"/>
              </w:rPr>
              <w:t>需求理解的</w:t>
            </w:r>
            <w:r>
              <w:rPr>
                <w:rFonts w:hint="eastAsia" w:ascii="仿宋" w:hAnsi="仿宋" w:eastAsia="仿宋" w:cs="仿宋"/>
                <w:sz w:val="28"/>
                <w:szCs w:val="28"/>
                <w:highlight w:val="none"/>
              </w:rPr>
              <w:t>不得分。</w:t>
            </w:r>
          </w:p>
        </w:tc>
      </w:tr>
      <w:tr w14:paraId="54859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7" w:hRule="atLeast"/>
        </w:trPr>
        <w:tc>
          <w:tcPr>
            <w:tcW w:w="917" w:type="pct"/>
            <w:vMerge w:val="continue"/>
            <w:vAlign w:val="center"/>
          </w:tcPr>
          <w:p w14:paraId="2693A2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p>
        </w:tc>
        <w:tc>
          <w:tcPr>
            <w:tcW w:w="576" w:type="pct"/>
            <w:vAlign w:val="center"/>
          </w:tcPr>
          <w:p w14:paraId="7DCEE9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整体服务</w:t>
            </w:r>
            <w:r>
              <w:rPr>
                <w:rFonts w:hint="eastAsia" w:ascii="仿宋" w:hAnsi="仿宋" w:eastAsia="仿宋" w:cs="仿宋"/>
                <w:sz w:val="28"/>
                <w:szCs w:val="28"/>
                <w:highlight w:val="none"/>
              </w:rPr>
              <w:t>方案（</w:t>
            </w:r>
            <w:r>
              <w:rPr>
                <w:rFonts w:hint="eastAsia" w:ascii="仿宋" w:hAnsi="仿宋" w:eastAsia="仿宋" w:cs="仿宋"/>
                <w:sz w:val="28"/>
                <w:szCs w:val="28"/>
                <w:highlight w:val="none"/>
                <w:lang w:val="en-US" w:eastAsia="zh-CN"/>
              </w:rPr>
              <w:t>25</w:t>
            </w:r>
            <w:r>
              <w:rPr>
                <w:rFonts w:hint="eastAsia" w:ascii="仿宋" w:hAnsi="仿宋" w:eastAsia="仿宋" w:cs="仿宋"/>
                <w:sz w:val="28"/>
                <w:szCs w:val="28"/>
                <w:highlight w:val="none"/>
              </w:rPr>
              <w:t>分）</w:t>
            </w:r>
          </w:p>
        </w:tc>
        <w:tc>
          <w:tcPr>
            <w:tcW w:w="3505" w:type="pct"/>
          </w:tcPr>
          <w:p w14:paraId="1F5F12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方案需包含（1）</w:t>
            </w:r>
            <w:r>
              <w:rPr>
                <w:rFonts w:hint="eastAsia" w:ascii="仿宋" w:hAnsi="仿宋" w:eastAsia="仿宋" w:cs="仿宋"/>
                <w:sz w:val="28"/>
                <w:szCs w:val="28"/>
                <w:highlight w:val="none"/>
              </w:rPr>
              <w:t>收集、整理和归档各类科</w:t>
            </w:r>
            <w:r>
              <w:rPr>
                <w:rFonts w:hint="eastAsia" w:ascii="仿宋" w:hAnsi="仿宋" w:eastAsia="仿宋" w:cs="仿宋"/>
                <w:sz w:val="28"/>
                <w:szCs w:val="28"/>
                <w:highlight w:val="none"/>
                <w:lang w:val="en-US" w:eastAsia="zh-CN"/>
              </w:rPr>
              <w:t>材料文件；（2）协助中心财务管理及科技金融相关工作；（3）协助内部部门与外单位联络。方</w:t>
            </w:r>
            <w:r>
              <w:rPr>
                <w:rFonts w:hint="eastAsia" w:ascii="仿宋" w:hAnsi="仿宋" w:eastAsia="仿宋" w:cs="仿宋"/>
                <w:sz w:val="28"/>
                <w:szCs w:val="28"/>
                <w:highlight w:val="none"/>
              </w:rPr>
              <w:t>案完整性、实操性、落地性评分：</w:t>
            </w:r>
          </w:p>
          <w:p w14:paraId="25822F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25</w:t>
            </w:r>
            <w:r>
              <w:rPr>
                <w:rFonts w:hint="eastAsia" w:ascii="仿宋" w:hAnsi="仿宋" w:eastAsia="仿宋" w:cs="仿宋"/>
                <w:b/>
                <w:bCs/>
                <w:sz w:val="28"/>
                <w:szCs w:val="28"/>
                <w:highlight w:val="none"/>
              </w:rPr>
              <w:t>分：</w:t>
            </w:r>
            <w:r>
              <w:rPr>
                <w:rFonts w:hint="eastAsia" w:ascii="仿宋" w:hAnsi="仿宋" w:eastAsia="仿宋" w:cs="仿宋"/>
                <w:sz w:val="28"/>
                <w:szCs w:val="28"/>
                <w:highlight w:val="none"/>
              </w:rPr>
              <w:t>提供的</w:t>
            </w:r>
            <w:r>
              <w:rPr>
                <w:rFonts w:hint="eastAsia" w:ascii="仿宋" w:hAnsi="仿宋" w:eastAsia="仿宋" w:cs="仿宋"/>
                <w:sz w:val="28"/>
                <w:szCs w:val="28"/>
                <w:highlight w:val="none"/>
                <w:lang w:val="en-US" w:eastAsia="zh-CN"/>
              </w:rPr>
              <w:t>项目专项服务方案完整</w:t>
            </w:r>
            <w:r>
              <w:rPr>
                <w:rFonts w:hint="eastAsia" w:ascii="仿宋" w:hAnsi="仿宋" w:eastAsia="仿宋" w:cs="仿宋"/>
                <w:sz w:val="28"/>
                <w:szCs w:val="28"/>
                <w:highlight w:val="none"/>
              </w:rPr>
              <w:t>详细，</w:t>
            </w:r>
            <w:r>
              <w:rPr>
                <w:rFonts w:hint="eastAsia" w:ascii="仿宋" w:hAnsi="仿宋" w:eastAsia="仿宋" w:cs="仿宋"/>
                <w:sz w:val="28"/>
                <w:szCs w:val="28"/>
                <w:highlight w:val="none"/>
                <w:lang w:val="en-US" w:eastAsia="zh-CN"/>
              </w:rPr>
              <w:t>服务需求内容响应完整，</w:t>
            </w:r>
            <w:r>
              <w:rPr>
                <w:rFonts w:hint="eastAsia" w:ascii="仿宋" w:hAnsi="仿宋" w:eastAsia="仿宋" w:cs="仿宋"/>
                <w:sz w:val="28"/>
                <w:szCs w:val="28"/>
                <w:highlight w:val="none"/>
              </w:rPr>
              <w:t>专项服务流程</w:t>
            </w:r>
            <w:r>
              <w:rPr>
                <w:rFonts w:hint="eastAsia" w:ascii="仿宋" w:hAnsi="仿宋" w:eastAsia="仿宋" w:cs="仿宋"/>
                <w:sz w:val="28"/>
                <w:szCs w:val="28"/>
                <w:highlight w:val="none"/>
                <w:lang w:val="en-US" w:eastAsia="zh-CN"/>
              </w:rPr>
              <w:t>及实施内容</w:t>
            </w:r>
            <w:r>
              <w:rPr>
                <w:rFonts w:hint="eastAsia" w:ascii="仿宋" w:hAnsi="仿宋" w:eastAsia="仿宋" w:cs="仿宋"/>
                <w:sz w:val="28"/>
                <w:szCs w:val="28"/>
                <w:highlight w:val="none"/>
              </w:rPr>
              <w:t>细化</w:t>
            </w:r>
            <w:r>
              <w:rPr>
                <w:rFonts w:hint="eastAsia" w:ascii="仿宋" w:hAnsi="仿宋" w:eastAsia="仿宋" w:cs="仿宋"/>
                <w:sz w:val="28"/>
                <w:szCs w:val="28"/>
                <w:highlight w:val="none"/>
                <w:lang w:val="en-US" w:eastAsia="zh-CN"/>
              </w:rPr>
              <w:t>且</w:t>
            </w:r>
            <w:r>
              <w:rPr>
                <w:rFonts w:hint="eastAsia" w:ascii="仿宋" w:hAnsi="仿宋" w:eastAsia="仿宋" w:cs="仿宋"/>
                <w:sz w:val="28"/>
                <w:szCs w:val="28"/>
                <w:highlight w:val="none"/>
              </w:rPr>
              <w:t>可落地</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服务细节全面、贴合实际情况的得</w:t>
            </w:r>
            <w:r>
              <w:rPr>
                <w:rFonts w:hint="eastAsia" w:ascii="仿宋" w:hAnsi="仿宋" w:eastAsia="仿宋" w:cs="仿宋"/>
                <w:sz w:val="28"/>
                <w:szCs w:val="28"/>
                <w:highlight w:val="none"/>
                <w:lang w:val="en-US" w:eastAsia="zh-CN"/>
              </w:rPr>
              <w:t>25</w:t>
            </w:r>
            <w:r>
              <w:rPr>
                <w:rFonts w:hint="eastAsia" w:ascii="仿宋" w:hAnsi="仿宋" w:eastAsia="仿宋" w:cs="仿宋"/>
                <w:sz w:val="28"/>
                <w:szCs w:val="28"/>
                <w:highlight w:val="none"/>
              </w:rPr>
              <w:t>分；</w:t>
            </w:r>
          </w:p>
          <w:p w14:paraId="64798EA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val="en-US" w:eastAsia="zh-CN"/>
              </w:rPr>
              <w:t>15</w:t>
            </w:r>
            <w:r>
              <w:rPr>
                <w:rFonts w:hint="eastAsia" w:ascii="仿宋" w:hAnsi="仿宋" w:eastAsia="仿宋" w:cs="仿宋"/>
                <w:b/>
                <w:bCs/>
                <w:sz w:val="28"/>
                <w:szCs w:val="28"/>
                <w:highlight w:val="none"/>
              </w:rPr>
              <w:t>分</w:t>
            </w:r>
            <w:r>
              <w:rPr>
                <w:rFonts w:hint="eastAsia" w:ascii="仿宋" w:hAnsi="仿宋" w:eastAsia="仿宋" w:cs="仿宋"/>
                <w:sz w:val="28"/>
                <w:szCs w:val="28"/>
                <w:highlight w:val="none"/>
              </w:rPr>
              <w:t>：提供的</w:t>
            </w:r>
            <w:r>
              <w:rPr>
                <w:rFonts w:hint="eastAsia" w:ascii="仿宋" w:hAnsi="仿宋" w:eastAsia="仿宋" w:cs="仿宋"/>
                <w:sz w:val="28"/>
                <w:szCs w:val="28"/>
                <w:highlight w:val="none"/>
                <w:lang w:val="en-US" w:eastAsia="zh-CN"/>
              </w:rPr>
              <w:t>项目专项服务方案</w:t>
            </w:r>
            <w:r>
              <w:rPr>
                <w:rFonts w:hint="eastAsia" w:ascii="仿宋" w:hAnsi="仿宋" w:eastAsia="仿宋" w:cs="仿宋"/>
                <w:sz w:val="28"/>
                <w:szCs w:val="28"/>
                <w:highlight w:val="none"/>
              </w:rPr>
              <w:t>比较全面，对</w:t>
            </w:r>
            <w:r>
              <w:rPr>
                <w:rFonts w:hint="eastAsia" w:ascii="仿宋" w:hAnsi="仿宋" w:eastAsia="仿宋" w:cs="仿宋"/>
                <w:sz w:val="28"/>
                <w:szCs w:val="28"/>
                <w:highlight w:val="none"/>
                <w:lang w:val="en-US" w:eastAsia="zh-CN"/>
              </w:rPr>
              <w:t>服务</w:t>
            </w:r>
            <w:r>
              <w:rPr>
                <w:rFonts w:hint="eastAsia" w:ascii="仿宋" w:hAnsi="仿宋" w:eastAsia="仿宋" w:cs="仿宋"/>
                <w:sz w:val="28"/>
                <w:szCs w:val="28"/>
                <w:highlight w:val="none"/>
              </w:rPr>
              <w:t>需求内容全部进行了响应，</w:t>
            </w:r>
            <w:r>
              <w:rPr>
                <w:rFonts w:hint="eastAsia" w:ascii="仿宋" w:hAnsi="仿宋" w:eastAsia="仿宋" w:cs="仿宋"/>
                <w:sz w:val="28"/>
                <w:szCs w:val="28"/>
                <w:highlight w:val="none"/>
                <w:lang w:val="en-US" w:eastAsia="zh-CN"/>
              </w:rPr>
              <w:t>专</w:t>
            </w:r>
            <w:r>
              <w:rPr>
                <w:rFonts w:hint="eastAsia" w:ascii="仿宋" w:hAnsi="仿宋" w:eastAsia="仿宋" w:cs="仿宋"/>
                <w:sz w:val="28"/>
                <w:szCs w:val="28"/>
                <w:highlight w:val="none"/>
              </w:rPr>
              <w:t>项服务流程及实施内容比较清晰，满足采购需求相关要求的，得</w:t>
            </w:r>
            <w:r>
              <w:rPr>
                <w:rFonts w:hint="eastAsia" w:ascii="仿宋" w:hAnsi="仿宋" w:eastAsia="仿宋" w:cs="仿宋"/>
                <w:sz w:val="28"/>
                <w:szCs w:val="28"/>
                <w:highlight w:val="none"/>
                <w:lang w:val="en-US" w:eastAsia="zh-CN"/>
              </w:rPr>
              <w:t>15</w:t>
            </w:r>
            <w:r>
              <w:rPr>
                <w:rFonts w:hint="eastAsia" w:ascii="仿宋" w:hAnsi="仿宋" w:eastAsia="仿宋" w:cs="仿宋"/>
                <w:sz w:val="28"/>
                <w:szCs w:val="28"/>
                <w:highlight w:val="none"/>
              </w:rPr>
              <w:t>分；</w:t>
            </w:r>
          </w:p>
          <w:p w14:paraId="44D246B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10分：</w:t>
            </w:r>
            <w:r>
              <w:rPr>
                <w:rFonts w:hint="eastAsia" w:ascii="仿宋" w:hAnsi="仿宋" w:eastAsia="仿宋" w:cs="仿宋"/>
                <w:sz w:val="28"/>
                <w:szCs w:val="28"/>
                <w:highlight w:val="none"/>
              </w:rPr>
              <w:t>提供的</w:t>
            </w:r>
            <w:r>
              <w:rPr>
                <w:rFonts w:hint="eastAsia" w:ascii="仿宋" w:hAnsi="仿宋" w:eastAsia="仿宋" w:cs="仿宋"/>
                <w:sz w:val="28"/>
                <w:szCs w:val="28"/>
                <w:highlight w:val="none"/>
                <w:lang w:val="en-US" w:eastAsia="zh-CN"/>
              </w:rPr>
              <w:t>项目专项服务方案</w:t>
            </w:r>
            <w:r>
              <w:rPr>
                <w:rFonts w:hint="eastAsia" w:ascii="仿宋" w:hAnsi="仿宋" w:eastAsia="仿宋" w:cs="仿宋"/>
                <w:sz w:val="28"/>
                <w:szCs w:val="28"/>
                <w:highlight w:val="none"/>
              </w:rPr>
              <w:t>基本全面，对</w:t>
            </w:r>
            <w:r>
              <w:rPr>
                <w:rFonts w:hint="eastAsia" w:ascii="仿宋" w:hAnsi="仿宋" w:eastAsia="仿宋" w:cs="仿宋"/>
                <w:sz w:val="28"/>
                <w:szCs w:val="28"/>
                <w:highlight w:val="none"/>
                <w:lang w:val="en-US" w:eastAsia="zh-CN"/>
              </w:rPr>
              <w:t>服务</w:t>
            </w:r>
            <w:r>
              <w:rPr>
                <w:rFonts w:hint="eastAsia" w:ascii="仿宋" w:hAnsi="仿宋" w:eastAsia="仿宋" w:cs="仿宋"/>
                <w:sz w:val="28"/>
                <w:szCs w:val="28"/>
                <w:highlight w:val="none"/>
              </w:rPr>
              <w:t>需求内容基本进行了响应，</w:t>
            </w:r>
            <w:r>
              <w:rPr>
                <w:rFonts w:hint="eastAsia" w:ascii="仿宋" w:hAnsi="仿宋" w:eastAsia="仿宋" w:cs="仿宋"/>
                <w:sz w:val="28"/>
                <w:szCs w:val="28"/>
                <w:highlight w:val="none"/>
                <w:lang w:val="en-US" w:eastAsia="zh-CN"/>
              </w:rPr>
              <w:t>专</w:t>
            </w:r>
            <w:r>
              <w:rPr>
                <w:rFonts w:hint="eastAsia" w:ascii="仿宋" w:hAnsi="仿宋" w:eastAsia="仿宋" w:cs="仿宋"/>
                <w:sz w:val="28"/>
                <w:szCs w:val="28"/>
                <w:highlight w:val="none"/>
              </w:rPr>
              <w:t>项服务流程及实施内容基本清晰，仅部分满足采购需求相关要求的，得10分；</w:t>
            </w:r>
          </w:p>
          <w:p w14:paraId="04C551B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0分：</w:t>
            </w:r>
            <w:r>
              <w:rPr>
                <w:rFonts w:hint="eastAsia" w:ascii="仿宋" w:hAnsi="仿宋" w:eastAsia="仿宋" w:cs="仿宋"/>
                <w:b w:val="0"/>
                <w:bCs w:val="0"/>
                <w:sz w:val="28"/>
                <w:szCs w:val="28"/>
                <w:highlight w:val="none"/>
              </w:rPr>
              <w:t>未提供</w:t>
            </w:r>
            <w:r>
              <w:rPr>
                <w:rFonts w:hint="eastAsia" w:ascii="仿宋" w:hAnsi="仿宋" w:eastAsia="仿宋" w:cs="仿宋"/>
                <w:b w:val="0"/>
                <w:bCs w:val="0"/>
                <w:sz w:val="28"/>
                <w:szCs w:val="28"/>
                <w:highlight w:val="none"/>
                <w:lang w:val="en-US" w:eastAsia="zh-CN"/>
              </w:rPr>
              <w:t>各</w:t>
            </w:r>
            <w:r>
              <w:rPr>
                <w:rFonts w:hint="eastAsia" w:ascii="仿宋" w:hAnsi="仿宋" w:eastAsia="仿宋" w:cs="仿宋"/>
                <w:b w:val="0"/>
                <w:bCs w:val="0"/>
                <w:sz w:val="28"/>
                <w:szCs w:val="28"/>
                <w:highlight w:val="none"/>
              </w:rPr>
              <w:t>专项方案不得分</w:t>
            </w:r>
            <w:r>
              <w:rPr>
                <w:rFonts w:hint="eastAsia" w:ascii="仿宋" w:hAnsi="仿宋" w:eastAsia="仿宋" w:cs="仿宋"/>
                <w:sz w:val="28"/>
                <w:szCs w:val="28"/>
                <w:highlight w:val="none"/>
              </w:rPr>
              <w:t>。</w:t>
            </w:r>
          </w:p>
        </w:tc>
      </w:tr>
      <w:tr w14:paraId="72A4F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6" w:hRule="atLeast"/>
        </w:trPr>
        <w:tc>
          <w:tcPr>
            <w:tcW w:w="917" w:type="pct"/>
            <w:vMerge w:val="continue"/>
            <w:vAlign w:val="center"/>
          </w:tcPr>
          <w:p w14:paraId="48D3410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p>
        </w:tc>
        <w:tc>
          <w:tcPr>
            <w:tcW w:w="576" w:type="pct"/>
            <w:vAlign w:val="center"/>
          </w:tcPr>
          <w:p w14:paraId="2ED256C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项目团队</w:t>
            </w:r>
          </w:p>
          <w:p w14:paraId="378A66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15分</w:t>
            </w:r>
            <w:r>
              <w:rPr>
                <w:rFonts w:hint="eastAsia" w:ascii="仿宋" w:hAnsi="仿宋" w:eastAsia="仿宋" w:cs="仿宋"/>
                <w:sz w:val="28"/>
                <w:szCs w:val="28"/>
                <w:highlight w:val="none"/>
                <w:lang w:eastAsia="zh-CN"/>
              </w:rPr>
              <w:t>）</w:t>
            </w:r>
          </w:p>
        </w:tc>
        <w:tc>
          <w:tcPr>
            <w:tcW w:w="3505" w:type="pct"/>
          </w:tcPr>
          <w:p w14:paraId="4C20071F">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bookmarkStart w:id="0" w:name="auto_fouce_15"/>
            <w:r>
              <w:rPr>
                <w:rFonts w:hint="eastAsia" w:ascii="仿宋" w:hAnsi="仿宋" w:eastAsia="仿宋" w:cs="仿宋"/>
                <w:b/>
                <w:bCs/>
                <w:sz w:val="28"/>
                <w:szCs w:val="28"/>
                <w:highlight w:val="none"/>
                <w:lang w:val="en-US" w:eastAsia="zh-CN"/>
              </w:rPr>
              <w:t>项目团队（5分）</w:t>
            </w:r>
            <w:r>
              <w:rPr>
                <w:rFonts w:hint="eastAsia" w:ascii="仿宋" w:hAnsi="仿宋" w:eastAsia="仿宋" w:cs="仿宋"/>
                <w:sz w:val="28"/>
                <w:szCs w:val="28"/>
                <w:highlight w:val="none"/>
                <w:lang w:val="en-US" w:eastAsia="zh-CN"/>
              </w:rPr>
              <w:t>：团队成员≥5人的得5分；团队成员≥3人且＜5人的得3分，团队成员＜3人的不得分</w:t>
            </w:r>
            <w:r>
              <w:rPr>
                <w:rFonts w:hint="eastAsia" w:ascii="仿宋" w:hAnsi="仿宋" w:eastAsia="仿宋" w:cs="仿宋"/>
                <w:sz w:val="28"/>
                <w:szCs w:val="28"/>
                <w:highlight w:val="none"/>
              </w:rPr>
              <w:t>；</w:t>
            </w:r>
            <w:bookmarkEnd w:id="0"/>
          </w:p>
          <w:p w14:paraId="43A407F3">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default" w:ascii="仿宋" w:hAnsi="仿宋" w:eastAsia="仿宋" w:cs="仿宋"/>
                <w:sz w:val="28"/>
                <w:szCs w:val="28"/>
                <w:highlight w:val="none"/>
                <w:lang w:val="en-US" w:eastAsia="zh-CN"/>
              </w:rPr>
            </w:pPr>
            <w:bookmarkStart w:id="1" w:name="auto_fouce_17"/>
            <w:r>
              <w:rPr>
                <w:rFonts w:hint="eastAsia" w:ascii="仿宋" w:hAnsi="仿宋" w:eastAsia="仿宋" w:cs="仿宋"/>
                <w:b/>
                <w:bCs/>
                <w:sz w:val="28"/>
                <w:szCs w:val="28"/>
                <w:highlight w:val="none"/>
                <w:lang w:val="en-US" w:eastAsia="zh-CN"/>
              </w:rPr>
              <w:t>项目成员（10分）</w:t>
            </w:r>
            <w:r>
              <w:rPr>
                <w:rFonts w:hint="eastAsia" w:ascii="仿宋" w:hAnsi="仿宋" w:eastAsia="仿宋" w:cs="仿宋"/>
                <w:sz w:val="28"/>
                <w:szCs w:val="28"/>
                <w:highlight w:val="none"/>
                <w:lang w:val="en-US" w:eastAsia="zh-CN"/>
              </w:rPr>
              <w:t>：按项目团队成员的职称/学历计分，其中拥有财务专业高级职称或博士学位者每人计8分，拥有财务专业中级职称或硕士学位者每人计5分，拥有财务专业初级职称、学士学位或会计从业资格证者每人计3分。本项累计得分不超过10分；同一人员只按最高档计一次，不重复累计。</w:t>
            </w:r>
            <w:bookmarkEnd w:id="1"/>
          </w:p>
          <w:p w14:paraId="49CF82FC">
            <w:pPr>
              <w:bidi w:val="0"/>
              <w:rPr>
                <w:rFonts w:hint="default"/>
                <w:highlight w:val="none"/>
                <w:lang w:val="en-US" w:eastAsia="zh-CN"/>
              </w:rPr>
            </w:pPr>
            <w:r>
              <w:rPr>
                <w:rFonts w:hint="eastAsia"/>
                <w:highlight w:val="none"/>
                <w:lang w:val="en-US" w:eastAsia="zh-CN"/>
              </w:rPr>
              <w:t>注</w:t>
            </w:r>
            <w:r>
              <w:rPr>
                <w:rFonts w:hint="default"/>
                <w:highlight w:val="none"/>
                <w:lang w:val="en-US" w:eastAsia="zh-CN"/>
              </w:rPr>
              <w:t>：项目团队人数分与项目成员分分别计算、互不抵扣；成员名单以响应文件中提供的证明复印件（职称证书/学历学位证书）为准，未提供证明材料的人员不计分。</w:t>
            </w:r>
          </w:p>
        </w:tc>
      </w:tr>
      <w:tr w14:paraId="53A7F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5" w:hRule="atLeast"/>
        </w:trPr>
        <w:tc>
          <w:tcPr>
            <w:tcW w:w="917" w:type="pct"/>
            <w:vAlign w:val="center"/>
          </w:tcPr>
          <w:p w14:paraId="2EC63E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商务部分</w:t>
            </w:r>
          </w:p>
          <w:p w14:paraId="05EB5D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val="en-US" w:eastAsia="zh-CN"/>
              </w:rPr>
              <w:t>30</w:t>
            </w:r>
            <w:r>
              <w:rPr>
                <w:rFonts w:hint="eastAsia" w:ascii="仿宋" w:hAnsi="仿宋" w:eastAsia="仿宋" w:cs="仿宋"/>
                <w:b/>
                <w:bCs/>
                <w:sz w:val="28"/>
                <w:szCs w:val="28"/>
                <w:highlight w:val="none"/>
              </w:rPr>
              <w:t>分）</w:t>
            </w:r>
          </w:p>
        </w:tc>
        <w:tc>
          <w:tcPr>
            <w:tcW w:w="576" w:type="pct"/>
            <w:vAlign w:val="center"/>
          </w:tcPr>
          <w:p w14:paraId="5CE3AE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项目经验</w:t>
            </w:r>
          </w:p>
          <w:p w14:paraId="05D9B3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（30分）</w:t>
            </w:r>
          </w:p>
        </w:tc>
        <w:tc>
          <w:tcPr>
            <w:tcW w:w="3505" w:type="pct"/>
          </w:tcPr>
          <w:p w14:paraId="20D28BC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bookmarkStart w:id="2" w:name="auto_fouce_18"/>
            <w:r>
              <w:rPr>
                <w:rFonts w:hint="eastAsia" w:ascii="仿宋" w:hAnsi="仿宋" w:eastAsia="仿宋" w:cs="仿宋"/>
                <w:sz w:val="28"/>
                <w:szCs w:val="28"/>
                <w:highlight w:val="none"/>
              </w:rPr>
              <w:t>供应商在2023年1月1日至本项目响应截止日期间，承接过为政府机关、事业单位或国有企业提供的科技金融、科技服务、金融服务、科技成果转化、企业培育辅导等协作/咨询服务的，每提供一项有效业绩得5分，本项最高得30分。</w:t>
            </w:r>
          </w:p>
          <w:p w14:paraId="61BDC05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注：响应方案需提供合同关键页复印件并加盖供应商公章，未提供或者提供的证明文件不符合要求的不得分。</w:t>
            </w:r>
            <w:bookmarkEnd w:id="2"/>
          </w:p>
        </w:tc>
      </w:tr>
      <w:tr w14:paraId="33391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5" w:hRule="atLeast"/>
        </w:trPr>
        <w:tc>
          <w:tcPr>
            <w:tcW w:w="917" w:type="pct"/>
            <w:vAlign w:val="center"/>
          </w:tcPr>
          <w:p w14:paraId="54DF83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投标报价部分</w:t>
            </w:r>
          </w:p>
          <w:p w14:paraId="1CE9EE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w:t>
            </w:r>
            <w:r>
              <w:rPr>
                <w:rFonts w:hint="eastAsia" w:ascii="仿宋" w:hAnsi="仿宋" w:eastAsia="仿宋" w:cs="仿宋"/>
                <w:b/>
                <w:bCs/>
                <w:sz w:val="28"/>
                <w:szCs w:val="28"/>
                <w:highlight w:val="none"/>
                <w:lang w:val="en-US" w:eastAsia="zh-CN"/>
              </w:rPr>
              <w:t>10</w:t>
            </w:r>
            <w:r>
              <w:rPr>
                <w:rFonts w:hint="eastAsia" w:ascii="仿宋" w:hAnsi="仿宋" w:eastAsia="仿宋" w:cs="仿宋"/>
                <w:b/>
                <w:bCs/>
                <w:sz w:val="28"/>
                <w:szCs w:val="28"/>
                <w:highlight w:val="none"/>
              </w:rPr>
              <w:t>分）</w:t>
            </w:r>
          </w:p>
        </w:tc>
        <w:tc>
          <w:tcPr>
            <w:tcW w:w="576" w:type="pct"/>
            <w:vAlign w:val="center"/>
          </w:tcPr>
          <w:p w14:paraId="00423F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投标报价</w:t>
            </w:r>
          </w:p>
          <w:p w14:paraId="472004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分）</w:t>
            </w:r>
          </w:p>
        </w:tc>
        <w:tc>
          <w:tcPr>
            <w:tcW w:w="3505" w:type="pct"/>
          </w:tcPr>
          <w:p w14:paraId="4427E6A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价格分采用低价优先法计算，即满足采购公告和采购需求文档要求且最终响应价格最低的响应报价为评审基准价，其价格分为满分。其他投标人的价格分统一按照下列公式计算：</w:t>
            </w:r>
          </w:p>
          <w:p w14:paraId="0CFDE5B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投标报价得分</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评审基准价／投标报价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×投标报价分值</w:t>
            </w:r>
          </w:p>
          <w:p w14:paraId="22CBC95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投标报价得分四舍五入后，小数点后保留两位有效数。最低报价不是成交的唯一依据。</w:t>
            </w:r>
          </w:p>
        </w:tc>
      </w:tr>
    </w:tbl>
    <w:p w14:paraId="0CFFC337">
      <w:pPr>
        <w:rPr>
          <w:rFonts w:hint="default" w:ascii="方正小标宋简体" w:hAnsi="方正小标宋简体" w:eastAsia="方正小标宋简体" w:cs="方正小标宋简体"/>
          <w:color w:val="000000"/>
          <w:sz w:val="44"/>
          <w:szCs w:val="44"/>
          <w:lang w:val="en-US" w:eastAsia="zh-CN"/>
        </w:rPr>
      </w:pPr>
    </w:p>
    <w:p w14:paraId="114F7A6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DAA84A-03DF-4CCF-A313-A2D9A3648B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33A41CE-6260-4852-A2B0-D56CFFF7FB68}"/>
  </w:font>
  <w:font w:name="仿宋_GB2312">
    <w:panose1 w:val="02010609030101010101"/>
    <w:charset w:val="86"/>
    <w:family w:val="modern"/>
    <w:pitch w:val="default"/>
    <w:sig w:usb0="00000001" w:usb1="080E0000" w:usb2="00000000" w:usb3="00000000" w:csb0="00040000" w:csb1="00000000"/>
    <w:embedRegular r:id="rId3" w:fontKey="{0155097B-B257-4D9F-88E0-2B1BC53420CB}"/>
  </w:font>
  <w:font w:name="方正小标宋简体">
    <w:panose1 w:val="02000000000000000000"/>
    <w:charset w:val="86"/>
    <w:family w:val="auto"/>
    <w:pitch w:val="default"/>
    <w:sig w:usb0="00000001" w:usb1="08000000" w:usb2="00000000" w:usb3="00000000" w:csb0="00040000" w:csb1="00000000"/>
    <w:embedRegular r:id="rId4" w:fontKey="{AE7BF2A8-805E-40E0-B221-5287A2DE31C0}"/>
  </w:font>
  <w:font w:name="方正黑体_GBK">
    <w:panose1 w:val="02010600010101010101"/>
    <w:charset w:val="86"/>
    <w:family w:val="auto"/>
    <w:pitch w:val="default"/>
    <w:sig w:usb0="00000001" w:usb1="080E0000" w:usb2="00000000" w:usb3="00000000" w:csb0="00040000" w:csb1="00000000"/>
    <w:embedRegular r:id="rId5" w:fontKey="{C667B823-E81E-4354-B0ED-498D88712274}"/>
  </w:font>
  <w:font w:name="楷体">
    <w:panose1 w:val="02010609060101010101"/>
    <w:charset w:val="86"/>
    <w:family w:val="auto"/>
    <w:pitch w:val="default"/>
    <w:sig w:usb0="800002BF" w:usb1="38CF7CFA" w:usb2="00000016" w:usb3="00000000" w:csb0="00040001" w:csb1="00000000"/>
    <w:embedRegular r:id="rId6" w:fontKey="{CFFFD47E-6376-4711-9D24-E045FBEDB200}"/>
  </w:font>
  <w:font w:name="仿宋">
    <w:panose1 w:val="02010609060101010101"/>
    <w:charset w:val="86"/>
    <w:family w:val="auto"/>
    <w:pitch w:val="default"/>
    <w:sig w:usb0="800002BF" w:usb1="38CF7CFA" w:usb2="00000016" w:usb3="00000000" w:csb0="00040001" w:csb1="00000000"/>
    <w:embedRegular r:id="rId7" w:fontKey="{505227FE-9DFC-4466-B995-7D7A3816F93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4F5AD"/>
    <w:multiLevelType w:val="singleLevel"/>
    <w:tmpl w:val="CFA4F5A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E0E1CA6"/>
    <w:rsid w:val="13EE3E48"/>
    <w:rsid w:val="25695674"/>
    <w:rsid w:val="2CFF241A"/>
    <w:rsid w:val="35BE49E7"/>
    <w:rsid w:val="5C862A62"/>
    <w:rsid w:val="67903819"/>
    <w:rsid w:val="6F1A0749"/>
    <w:rsid w:val="75982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lang w:val="en-US" w:eastAsia="en-US" w:bidi="ar-SA"/>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5">
    <w:name w:val="Body Text"/>
    <w:basedOn w:val="1"/>
    <w:qFormat/>
    <w:uiPriority w:val="0"/>
    <w:pPr>
      <w:spacing w:line="360" w:lineRule="auto"/>
    </w:pPr>
    <w:rPr>
      <w:rFonts w:ascii="宋体" w:hAnsi="宋体"/>
      <w:sz w:val="28"/>
    </w:rPr>
  </w:style>
  <w:style w:type="paragraph" w:styleId="6">
    <w:name w:val="Body Text Indent 2"/>
    <w:basedOn w:val="1"/>
    <w:qFormat/>
    <w:uiPriority w:val="0"/>
    <w:pPr>
      <w:autoSpaceDE w:val="0"/>
      <w:autoSpaceDN w:val="0"/>
      <w:spacing w:before="0" w:after="120" w:line="480" w:lineRule="auto"/>
      <w:ind w:left="420" w:leftChars="200" w:right="0"/>
      <w:jc w:val="left"/>
    </w:pPr>
    <w:rPr>
      <w:rFonts w:ascii="仿宋_GB2312" w:hAnsi="仿宋_GB2312" w:eastAsia="仿宋_GB2312" w:cs="仿宋_GB2312"/>
      <w:kern w:val="0"/>
      <w:sz w:val="22"/>
      <w:szCs w:val="22"/>
      <w:lang w:val="zh-CN" w:bidi="zh-CN"/>
    </w:rPr>
  </w:style>
  <w:style w:type="table" w:customStyle="1" w:styleId="9">
    <w:name w:val="Table Normal_0"/>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451</Words>
  <Characters>464</Characters>
  <Lines>0</Lines>
  <Paragraphs>0</Paragraphs>
  <TotalTime>20</TotalTime>
  <ScaleCrop>false</ScaleCrop>
  <LinksUpToDate>false</LinksUpToDate>
  <CharactersWithSpaces>464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2026-07-27T06:39:00Z</dcterms:created>
  <dc:creator>Admin</dc:creator>
  <cp:lastModifiedBy>LC</cp:lastModifiedBy>
  <dcterms:modified xsi:type="dcterms:W3CDTF">2026-11-05T01:05:15Z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06BCAAE9DF2648099FAEACD91A9982EC_13</vt:lpwstr>
  </property>
  <property fmtid="{D5CDD505-2E9C-101B-9397-08002B2CF9AE}" pid="4" name="KSOTemplateDocerSaveRecord">
    <vt:lpwstr>eyJoZGlkIjoiYzdmMjEzNTYzYjA2MGI1NzAxMjAzMzIwOGQ3NzE0YmUiLCJ1c2VySWQiOiI0NTU3OTYxNDEifQ==</vt:lpwstr>
  </property>
</Properties>
</file>