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0EC2E">
      <w:pPr>
        <w:rPr>
          <w:rFonts w:ascii="黑体" w:hAnsi="黑体" w:eastAsia="黑体" w:cs="黑体"/>
          <w:b w:val="0"/>
          <w:bCs w:val="0"/>
          <w:sz w:val="32"/>
          <w:szCs w:val="32"/>
        </w:rPr>
      </w:pPr>
      <w:bookmarkStart w:id="0" w:name="_GoBack"/>
      <mc:AlternateContent>
        <mc:Choice Requires="wpsCustomData">
          <wpsCustomData:docfieldStart id="0" docfieldname="附件_1" hidden="0" print="1" readonly="0" index="1"/>
        </mc:Choice>
      </mc:AlternateContent>
      <w:r>
        <w:rPr>
          <w:rFonts w:ascii="黑体" w:hAnsi="黑体" w:eastAsia="黑体" w:cs="黑体"/>
          <w:b w:val="0"/>
          <w:bCs w:val="0"/>
          <w:sz w:val="32"/>
          <w:szCs w:val="32"/>
        </w:rPr>
        <w:t>附件：</w:t>
      </w:r>
      <mc:AlternateContent>
        <mc:Choice Requires="wpsCustomData">
          <wpsCustomData:docfieldEnd id="0"/>
        </mc:Choice>
      </mc:AlternateContent>
    </w:p>
    <w:p w14:paraId="3861E58B">
      <w:pPr>
        <w:pStyle w:val="17"/>
        <w:widowControl/>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珠海市产业创新积分制特色体系——产业特色附加分评估服务需求</w:t>
      </w:r>
    </w:p>
    <w:bookmarkEnd w:id="0"/>
    <w:p w14:paraId="1EAFD9DE">
      <w:pPr>
        <w:pStyle w:val="13"/>
        <w:spacing w:line="580" w:lineRule="exact"/>
        <w:ind w:firstLine="616"/>
      </w:pPr>
    </w:p>
    <w:p w14:paraId="5B45E15A">
      <w:pPr>
        <w:pStyle w:val="2"/>
        <w:widowControl/>
        <w:rPr>
          <w:rFonts w:ascii="黑体" w:hAnsi="黑体" w:eastAsia="黑体" w:cs="黑体"/>
          <w:b w:val="0"/>
          <w:bCs w:val="0"/>
          <w:sz w:val="32"/>
          <w:szCs w:val="32"/>
        </w:rPr>
      </w:pPr>
      <w:r>
        <w:rPr>
          <w:rFonts w:ascii="黑体" w:hAnsi="黑体" w:eastAsia="黑体" w:cs="黑体"/>
          <w:b w:val="0"/>
          <w:bCs w:val="0"/>
          <w:sz w:val="32"/>
          <w:szCs w:val="32"/>
        </w:rPr>
        <w:t>一、项目概述</w:t>
      </w:r>
    </w:p>
    <w:p w14:paraId="0136E97B">
      <w:pPr>
        <w:pStyle w:val="13"/>
        <w:widowControl/>
        <w:rPr>
          <w:rFonts w:hint="eastAsia" w:ascii="仿宋_GB2312" w:hAnsi="仿宋_GB2312" w:eastAsia="仿宋_GB2312" w:cs="仿宋_GB2312"/>
          <w:b w:val="0"/>
          <w:bCs w:val="0"/>
          <w:spacing w:val="-6"/>
          <w:kern w:val="0"/>
          <w:sz w:val="32"/>
          <w:szCs w:val="32"/>
          <w:lang w:val="en-US" w:eastAsia="zh-CN" w:bidi="ar-SA"/>
        </w:rPr>
      </w:pPr>
      <w:r>
        <w:rPr>
          <w:rFonts w:hint="eastAsia" w:ascii="仿宋_GB2312" w:hAnsi="仿宋_GB2312" w:eastAsia="仿宋_GB2312" w:cs="仿宋_GB2312"/>
          <w:b w:val="0"/>
          <w:bCs w:val="0"/>
          <w:spacing w:val="-6"/>
          <w:kern w:val="0"/>
          <w:sz w:val="32"/>
          <w:szCs w:val="32"/>
          <w:lang w:val="en-US" w:eastAsia="zh-CN" w:bidi="ar-SA"/>
        </w:rPr>
        <w:t>本项目为保障广东省省级科技计划项目《珠海市产业创新积分制特色体系构建与政策实践路径研究》顺利实施，落实生物医药产业差异化创新积分指标体系构建、企业试点评分验证等研究任务，采购产业特色附加分评估服务。围绕生物医药产业编制产业特色附加分评分方案，开展珠海市企业产业特色附加分评分赋值，搭建评分演示网页页面，完成成果交付，并配套提供系统运维、数据答疑解</w:t>
      </w:r>
      <w:r>
        <w:rPr>
          <w:rFonts w:hint="eastAsia" w:ascii="仿宋_GB2312" w:hAnsi="仿宋_GB2312" w:eastAsia="仿宋_GB2312" w:cs="仿宋_GB2312"/>
          <w:b w:val="0"/>
          <w:bCs w:val="0"/>
          <w:spacing wpsCustomData:val="-6" w:val="-3"/>
          <w:kern w:val="0"/>
          <w:sz w:val="32"/>
          <w:szCs w:val="32"/>
          <w:lang w:val="en-US" w:eastAsia="zh-CN" w:bidi="ar-SA"/>
        </w:rPr>
        <w:t>读等质保服</w:t>
      </w:r>
      <w:r>
        <w:rPr>
          <w:rFonts w:hint="eastAsia" w:ascii="仿宋_GB2312" w:hAnsi="仿宋_GB2312" w:eastAsia="仿宋_GB2312" w:cs="仿宋_GB2312"/>
          <w:b w:val="0"/>
          <w:bCs w:val="0"/>
          <w:spacing wpsCustomData:val="-6" w:val="-2"/>
          <w:kern w:val="0"/>
          <w:sz w:val="32"/>
          <w:szCs w:val="32"/>
          <w:lang w:val="en-US" w:eastAsia="zh-CN" w:bidi="ar-SA"/>
        </w:rPr>
        <w:t>务</w:t>
      </w:r>
      <w:r>
        <w:rPr>
          <w:rFonts w:hint="eastAsia" w:ascii="仿宋_GB2312" w:hAnsi="仿宋_GB2312" w:eastAsia="仿宋_GB2312" w:cs="仿宋_GB2312"/>
          <w:b w:val="0"/>
          <w:bCs w:val="0"/>
          <w:spacing wpsCustomData:val="-6" w:val="-3"/>
          <w:kern w:val="0"/>
          <w:sz w:val="32"/>
          <w:szCs w:val="32"/>
          <w:lang w:val="en-US" w:eastAsia="zh-CN" w:bidi="ar-SA"/>
        </w:rPr>
        <w:t>，为珠海市创新积分制工作提供数据支撑与决</w:t>
      </w:r>
      <w:r>
        <w:rPr>
          <w:rFonts w:hint="eastAsia" w:ascii="仿宋_GB2312" w:hAnsi="仿宋_GB2312" w:eastAsia="仿宋_GB2312" w:cs="仿宋_GB2312"/>
          <w:b w:val="0"/>
          <w:bCs w:val="0"/>
          <w:spacing wpsCustomData:val="-6" w:val="-6"/>
          <w:kern w:val="0"/>
          <w:sz w:val="32"/>
          <w:szCs w:val="32"/>
          <w:lang w:val="en-US" w:eastAsia="zh-CN" w:bidi="ar-SA"/>
        </w:rPr>
        <w:t>策</w:t>
      </w:r>
      <w:r>
        <w:rPr>
          <w:rFonts w:hint="eastAsia" w:ascii="仿宋_GB2312" w:hAnsi="仿宋_GB2312" w:eastAsia="仿宋_GB2312" w:cs="仿宋_GB2312"/>
          <w:b w:val="0"/>
          <w:bCs w:val="0"/>
          <w:spacing w:val="-6"/>
          <w:kern w:val="0"/>
          <w:sz w:val="32"/>
          <w:szCs w:val="32"/>
          <w:lang w:val="en-US" w:eastAsia="zh-CN" w:bidi="ar-SA"/>
        </w:rPr>
        <w:t>依据。</w:t>
      </w:r>
    </w:p>
    <w:p w14:paraId="32A7D3F9">
      <w:pPr>
        <w:pStyle w:val="2"/>
        <w:widowControl/>
        <w:rPr>
          <w:rFonts w:ascii="黑体" w:hAnsi="黑体" w:eastAsia="黑体" w:cs="黑体"/>
          <w:b w:val="0"/>
          <w:bCs w:val="0"/>
          <w:sz w:val="32"/>
          <w:szCs w:val="32"/>
        </w:rPr>
      </w:pPr>
      <w:r>
        <w:rPr>
          <w:rFonts w:ascii="黑体" w:hAnsi="黑体" w:eastAsia="黑体" w:cs="黑体"/>
          <w:b w:val="0"/>
          <w:bCs w:val="0"/>
          <w:sz w:val="32"/>
          <w:szCs w:val="32"/>
        </w:rPr>
        <w:t>二、服务范围与核心目标</w:t>
      </w:r>
    </w:p>
    <w:p w14:paraId="6B7BCB73">
      <w:pPr>
        <w:pStyle w:val="3"/>
        <w:widowControl/>
        <w:rPr>
          <w:rFonts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（一）评分方案编制服务</w:t>
      </w:r>
    </w:p>
    <w:p w14:paraId="0738F7E0">
      <w:pPr>
        <w:pStyle w:val="13"/>
        <w:widowControl/>
        <w:rPr>
          <w:rFonts w:ascii="Times New Roman" w:hAnsi="Times New Roman" w:eastAsia="仿宋_GB2312" w:cs="仿宋_GB2312"/>
          <w:b w:val="0"/>
          <w:bCs w:val="0"/>
          <w:color w:val="000000"/>
          <w:sz w:val="32"/>
          <w:szCs w:val="32"/>
        </w:rPr>
      </w:pPr>
      <w:r>
        <w:rPr>
          <w:rFonts w:hint="eastAsia" w:ascii="仿宋_GB2312" w:hAnsi="仿宋_GB2312" w:eastAsia="仿宋_GB2312" w:cs="仿宋_GB2312"/>
          <w:b w:val="0"/>
          <w:bCs w:val="0"/>
          <w:spacing w:val="-6"/>
          <w:kern w:val="0"/>
          <w:sz w:val="32"/>
          <w:szCs w:val="32"/>
          <w:lang w:val="en-US" w:eastAsia="zh-CN" w:bidi="ar-SA"/>
        </w:rPr>
        <w:t>围绕生物医药产业，完成化学药及原料药、生物制品与创新药、医疗器械、现代中医药、医药外包服务（CXO）五大垂类及珠海特色协同加分模块细化评分指标、实施细则编制，形成细化评分指标，制定单项指标封顶机制，编制数据采集规范，输出完整《产业特色附加分指标体系》及实施细则。</w:t>
      </w:r>
    </w:p>
    <w:p w14:paraId="22F8EB2F">
      <w:pPr>
        <w:pStyle w:val="13"/>
        <w:widowControl/>
        <w:rPr>
          <w:rFonts w:ascii="Times New Roman" w:hAnsi="Times New Roman" w:eastAsia="仿宋_GB2312" w:cs="仿宋_GB2312"/>
          <w:b w:val="0"/>
          <w:bCs w:val="0"/>
          <w:color w:val="000000"/>
          <w:sz w:val="32"/>
          <w:szCs w:val="32"/>
        </w:rPr>
      </w:pPr>
    </w:p>
    <w:p w14:paraId="6C29FDA6">
      <w:pPr>
        <w:pStyle w:val="13"/>
        <w:widowControl/>
        <w:rPr>
          <w:rFonts w:ascii="Times New Roman" w:hAnsi="Times New Roman" w:eastAsia="仿宋_GB2312" w:cs="仿宋_GB2312"/>
          <w:b w:val="0"/>
          <w:bCs w:val="0"/>
          <w:color w:val="000000"/>
          <w:sz w:val="32"/>
          <w:szCs w:val="32"/>
        </w:rPr>
      </w:pPr>
    </w:p>
    <w:p w14:paraId="4F5E40EF">
      <w:pPr>
        <w:pStyle w:val="3"/>
        <w:widowControl/>
        <w:rPr>
          <w:rFonts w:ascii="Times New Roman" w:hAnsi="Times New Roman" w:eastAsia="楷体_GB2312" w:cs="楷体_GB2312"/>
          <w:b w:val="0"/>
          <w:bCs w:val="0"/>
          <w:sz w:val="32"/>
          <w:szCs w:val="32"/>
        </w:rPr>
      </w:pPr>
      <w:r>
        <w:rPr>
          <w:rFonts w:ascii="Times New Roman" w:hAnsi="Times New Roman" w:eastAsia="楷体_GB2312" w:cs="楷体_GB2312"/>
          <w:b w:val="0"/>
          <w:bCs w:val="0"/>
          <w:sz w:val="32"/>
          <w:szCs w:val="32"/>
        </w:rPr>
        <w:t>（二）</w:t>
      </w:r>
      <w:r>
        <w:rPr>
          <w:rFonts w:hint="eastAsia" w:ascii="Times New Roman" w:hAnsi="Times New Roman" w:eastAsia="楷体_GB2312" w:cs="楷体_GB2312"/>
          <w:b w:val="0"/>
          <w:bCs w:val="0"/>
          <w:sz w:val="32"/>
          <w:szCs w:val="32"/>
        </w:rPr>
        <w:t>多源数据采集与企业评分赋值服务</w:t>
      </w:r>
    </w:p>
    <w:p w14:paraId="6DEDEE7B">
      <w:pPr>
        <w:pStyle w:val="13"/>
        <w:widowControl/>
        <w:rPr>
          <w:rFonts w:hint="eastAsia" w:ascii="仿宋_GB2312" w:hAnsi="仿宋_GB2312" w:eastAsia="仿宋_GB2312" w:cs="仿宋_GB2312"/>
          <w:b w:val="0"/>
          <w:bCs w:val="0"/>
          <w:spacing w:val="-6"/>
          <w:kern w:val="0"/>
          <w:sz w:val="32"/>
          <w:szCs w:val="32"/>
          <w:lang w:val="en-US" w:eastAsia="zh-CN" w:bidi="ar-SA"/>
        </w:rPr>
      </w:pPr>
      <w:r>
        <w:rPr>
          <w:rFonts w:hint="eastAsia" w:ascii="仿宋_GB2312" w:hAnsi="仿宋_GB2312" w:eastAsia="仿宋_GB2312" w:cs="仿宋_GB2312"/>
          <w:b w:val="0"/>
          <w:bCs w:val="0"/>
          <w:spacing w:val="-6"/>
          <w:kern w:val="0"/>
          <w:sz w:val="32"/>
          <w:szCs w:val="32"/>
          <w:lang w:val="en-US" w:eastAsia="zh-CN" w:bidi="ar-SA"/>
        </w:rPr>
        <w:t>采集多源公开数据，完成数据清洗、标准化处理；对珠海市企业开展产业特色附加分评分赋值，输出每家企业各维度得分明细及总分，每项加分均可追溯数据来源，保障评分真实、准确、可验证。</w:t>
      </w:r>
    </w:p>
    <w:p w14:paraId="35463755">
      <w:pPr>
        <w:pStyle w:val="3"/>
        <w:widowControl/>
        <w:rPr>
          <w:rFonts w:ascii="Times New Roman" w:hAnsi="Times New Roman" w:eastAsia="楷体_GB2312" w:cs="楷体_GB2312"/>
          <w:b w:val="0"/>
          <w:bCs w:val="0"/>
          <w:sz w:val="32"/>
          <w:szCs w:val="32"/>
        </w:rPr>
      </w:pPr>
      <w:r>
        <w:rPr>
          <w:rFonts w:ascii="Times New Roman" w:hAnsi="Times New Roman" w:eastAsia="楷体_GB2312" w:cs="楷体_GB2312"/>
          <w:b w:val="0"/>
          <w:bCs w:val="0"/>
          <w:sz w:val="32"/>
          <w:szCs w:val="32"/>
        </w:rPr>
        <w:t>（三）</w:t>
      </w:r>
      <w:r>
        <w:rPr>
          <w:rFonts w:hint="eastAsia" w:ascii="Times New Roman" w:hAnsi="Times New Roman" w:eastAsia="楷体_GB2312" w:cs="楷体_GB2312"/>
          <w:b w:val="0"/>
          <w:bCs w:val="0"/>
          <w:sz w:val="32"/>
          <w:szCs w:val="32"/>
        </w:rPr>
        <w:t>演示网页搭建部署服务</w:t>
      </w:r>
    </w:p>
    <w:p w14:paraId="350BECA3">
      <w:pPr>
        <w:pStyle w:val="3"/>
        <w:widowControl/>
        <w:rPr>
          <w:rFonts w:hint="eastAsia" w:ascii="仿宋_GB2312" w:hAnsi="仿宋_GB2312" w:eastAsia="仿宋_GB2312" w:cs="仿宋_GB2312"/>
          <w:b w:val="0"/>
          <w:bCs w:val="0"/>
          <w:spacing w:val="-6"/>
          <w:kern w:val="0"/>
          <w:sz w:val="32"/>
          <w:szCs w:val="32"/>
          <w:lang w:val="en-US" w:eastAsia="zh-CN" w:bidi="ar-SA"/>
        </w:rPr>
      </w:pPr>
      <w:r>
        <w:rPr>
          <w:rFonts w:hint="eastAsia" w:ascii="仿宋_GB2312" w:hAnsi="仿宋_GB2312" w:eastAsia="仿宋_GB2312" w:cs="仿宋_GB2312"/>
          <w:spacing w:val="-6"/>
          <w:lang w:val="en-US" w:eastAsia="zh-CN" w:bidi="ar-SA"/>
        </w:rPr>
        <w:t>搭建珠海创新积分制生物医药行业评分的呈现页面，</w:t>
      </w:r>
      <w:r>
        <w:rPr>
          <w:rFonts w:hint="eastAsia" w:ascii="仿宋_GB2312" w:hAnsi="仿宋_GB2312" w:eastAsia="仿宋_GB2312" w:cs="仿宋_GB2312"/>
          <w:b w:val="0"/>
          <w:bCs w:val="0"/>
          <w:spacing w:val="-6"/>
          <w:kern w:val="0"/>
          <w:sz w:val="32"/>
          <w:szCs w:val="32"/>
          <w:lang w:val="en-US" w:eastAsia="zh-CN" w:bidi="ar-SA"/>
        </w:rPr>
        <w:t>完成HTML简易演示页面部署上线，实现企业各指标得分直观展示。</w:t>
      </w:r>
    </w:p>
    <w:p w14:paraId="63B05EF1">
      <w:pPr>
        <w:rPr>
          <w:rFonts w:ascii="黑体" w:hAnsi="黑体" w:eastAsia="黑体" w:cs="黑体"/>
          <w:b w:val="0"/>
          <w:bCs w:val="0"/>
          <w:sz w:val="32"/>
          <w:szCs w:val="32"/>
        </w:rPr>
      </w:pPr>
      <w:r>
        <w:rPr>
          <w:rFonts w:ascii="黑体" w:hAnsi="黑体" w:eastAsia="黑体" w:cs="黑体"/>
          <w:b w:val="0"/>
          <w:bCs w:val="0"/>
          <w:sz w:val="32"/>
          <w:szCs w:val="32"/>
        </w:rPr>
        <w:br w:type="page"/>
      </w:r>
    </w:p>
    <w:p w14:paraId="381B9BF2">
      <w:pPr>
        <w:pStyle w:val="2"/>
        <w:widowControl/>
        <w:rPr>
          <w:rFonts w:ascii="黑体" w:hAnsi="黑体" w:eastAsia="黑体" w:cs="黑体"/>
          <w:b w:val="0"/>
          <w:bCs w:val="0"/>
          <w:sz w:val="32"/>
          <w:szCs w:val="32"/>
        </w:rPr>
      </w:pPr>
      <w:r>
        <w:rPr>
          <w:rFonts w:ascii="黑体" w:hAnsi="黑体" w:eastAsia="黑体" w:cs="黑体"/>
          <w:b w:val="0"/>
          <w:bCs w:val="0"/>
          <w:sz w:val="32"/>
          <w:szCs w:val="32"/>
        </w:rPr>
        <w:t>三、评标定标方法</w:t>
      </w:r>
    </w:p>
    <w:p w14:paraId="163A56A7">
      <w:pPr>
        <w:pStyle w:val="3"/>
        <w:rPr>
          <w:rFonts w:ascii="Times New Roman" w:hAnsi="Times New Roman" w:eastAsia="仿宋_GB2312" w:cs="仿宋_GB2312"/>
          <w:b w:val="0"/>
          <w:bCs w:val="0"/>
          <w:sz w:val="32"/>
          <w:szCs w:val="32"/>
        </w:rPr>
      </w:pPr>
      <w:r>
        <w:rPr>
          <w:rFonts w:hint="eastAsia" w:ascii="仿宋_GB2312" w:hAnsi="仿宋_GB2312" w:eastAsia="仿宋_GB2312" w:cs="仿宋_GB2312"/>
          <w:b w:val="0"/>
          <w:bCs w:val="0"/>
          <w:spacing w:val="-6"/>
          <w:kern w:val="0"/>
          <w:sz w:val="32"/>
          <w:szCs w:val="32"/>
          <w:lang w:val="en-US" w:eastAsia="zh-CN" w:bidi="ar-SA"/>
        </w:rPr>
        <w:t>本项目采用综合评分法选定供应商。综合评分法是指投标响应文件满足采购公告和采购需求文档的全部要求，且按照评审因素的量化指标得分最高的供应商为成交候选人的评标定标方法（最低报价不是成交的唯一依据）。以下为本项目的具体评分要素和分值：</w:t>
      </w:r>
    </w:p>
    <w:p w14:paraId="571AFFEF">
      <w:pPr>
        <w:pStyle w:val="17"/>
        <w:widowControl/>
        <w:rPr>
          <w:rFonts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sz w:val="44"/>
          <w:szCs w:val="44"/>
        </w:rPr>
        <w:t>综合评分表</w:t>
      </w:r>
    </w:p>
    <w:tbl>
      <w:tblPr>
        <w:tblStyle w:val="30"/>
        <w:tblW w:w="50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89"/>
        <w:gridCol w:w="1459"/>
        <w:gridCol w:w="6212"/>
      </w:tblGrid>
      <w:tr w14:paraId="3510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71" w:type="pct"/>
            <w:vAlign w:val="center"/>
          </w:tcPr>
          <w:p w14:paraId="41D967AA">
            <w:pPr>
              <w:spacing w:line="580" w:lineRule="exact"/>
              <w:jc w:val="center"/>
              <w:rPr>
                <w:rFonts w:hint="eastAsia" w:ascii="仿宋" w:hAnsi="仿宋" w:eastAsia="仿宋" w:cs="仿宋"/>
                <w:b/>
                <w:bCs/>
                <w:sz w:val="24"/>
                <w:szCs w:val="24"/>
              </w:rPr>
            </w:pPr>
            <w:r>
              <w:rPr>
                <w:rFonts w:hint="eastAsia" w:ascii="仿宋" w:hAnsi="仿宋" w:eastAsia="仿宋" w:cs="仿宋"/>
                <w:b/>
                <w:bCs/>
                <w:sz w:val="24"/>
                <w:szCs w:val="24"/>
              </w:rPr>
              <w:t>评审因素</w:t>
            </w:r>
          </w:p>
        </w:tc>
        <w:tc>
          <w:tcPr>
            <w:tcW w:w="4328" w:type="pct"/>
            <w:gridSpan w:val="2"/>
            <w:vAlign w:val="center"/>
          </w:tcPr>
          <w:p w14:paraId="4C6AB78E">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评审标准</w:t>
            </w:r>
          </w:p>
        </w:tc>
      </w:tr>
      <w:tr w14:paraId="4F983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71" w:type="pct"/>
            <w:vAlign w:val="center"/>
          </w:tcPr>
          <w:p w14:paraId="57A74647">
            <w:pPr>
              <w:spacing w:line="580" w:lineRule="exact"/>
              <w:jc w:val="center"/>
              <w:rPr>
                <w:rFonts w:hint="eastAsia" w:ascii="仿宋" w:hAnsi="仿宋" w:eastAsia="仿宋" w:cs="仿宋"/>
                <w:b/>
                <w:bCs/>
                <w:sz w:val="24"/>
                <w:szCs w:val="24"/>
              </w:rPr>
            </w:pPr>
            <w:r>
              <w:rPr>
                <w:rFonts w:hint="eastAsia" w:ascii="仿宋" w:hAnsi="仿宋" w:eastAsia="仿宋" w:cs="仿宋"/>
                <w:b/>
                <w:bCs/>
                <w:sz w:val="24"/>
                <w:szCs w:val="24"/>
              </w:rPr>
              <w:t>分值构成</w:t>
            </w:r>
          </w:p>
        </w:tc>
        <w:tc>
          <w:tcPr>
            <w:tcW w:w="4328" w:type="pct"/>
            <w:gridSpan w:val="2"/>
            <w:vAlign w:val="center"/>
          </w:tcPr>
          <w:p w14:paraId="47400987">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总分100分，</w:t>
            </w:r>
          </w:p>
          <w:p w14:paraId="7EBA63EB">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其中技术部分：50分；商务部分：40分；投标报价部分：10分</w:t>
            </w:r>
          </w:p>
        </w:tc>
      </w:tr>
      <w:tr w14:paraId="2B744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trPr>
        <w:tc>
          <w:tcPr>
            <w:tcW w:w="671" w:type="pct"/>
            <w:vMerge w:val="restart"/>
            <w:vAlign w:val="center"/>
          </w:tcPr>
          <w:p w14:paraId="1CFA66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技术部分</w:t>
            </w:r>
          </w:p>
          <w:p w14:paraId="4D4188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（50分）</w:t>
            </w:r>
          </w:p>
        </w:tc>
        <w:tc>
          <w:tcPr>
            <w:tcW w:w="823" w:type="pct"/>
            <w:vAlign w:val="center"/>
          </w:tcPr>
          <w:p w14:paraId="661259A6">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项目需求理解程度（15分）</w:t>
            </w:r>
          </w:p>
        </w:tc>
        <w:tc>
          <w:tcPr>
            <w:tcW w:w="3504" w:type="pct"/>
          </w:tcPr>
          <w:p w14:paraId="17985316">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根据响应供应商提供的项目理解程度（结合服务概述、服务范围、核心目标、服务内容等进行分析）进行评分：</w:t>
            </w:r>
          </w:p>
          <w:p w14:paraId="0EF39C36">
            <w:pPr>
              <w:keepNext w:val="0"/>
              <w:keepLines w:val="0"/>
              <w:pageBreakBefore w:val="0"/>
              <w:widowControl w:val="0"/>
              <w:numPr>
                <w:ilvl w:val="0"/>
                <w:numId w:val="1"/>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对项目的理解全面详细，提供的说明内容清晰完整，并充分理解采购需求，完全了解项目的服务范围</w:t>
            </w:r>
            <w:r>
              <w:rPr>
                <w:rFonts w:ascii="仿宋" w:hAnsi="仿宋" w:eastAsia="仿宋" w:cs="仿宋"/>
                <w:sz w:val="24"/>
                <w:szCs w:val="24"/>
              </w:rPr>
              <w:t>、</w:t>
            </w:r>
            <w:r>
              <w:rPr>
                <w:rFonts w:hint="eastAsia" w:ascii="仿宋" w:hAnsi="仿宋" w:eastAsia="仿宋" w:cs="仿宋"/>
                <w:sz w:val="24"/>
                <w:szCs w:val="24"/>
              </w:rPr>
              <w:t>核心目标</w:t>
            </w:r>
            <w:r>
              <w:rPr>
                <w:rFonts w:ascii="仿宋" w:hAnsi="仿宋" w:eastAsia="仿宋" w:cs="仿宋"/>
                <w:sz w:val="24"/>
                <w:szCs w:val="24"/>
              </w:rPr>
              <w:t>、服务内容等</w:t>
            </w:r>
            <w:r>
              <w:rPr>
                <w:rFonts w:hint="eastAsia" w:ascii="仿宋" w:hAnsi="仿宋" w:eastAsia="仿宋" w:cs="仿宋"/>
                <w:sz w:val="24"/>
                <w:szCs w:val="24"/>
              </w:rPr>
              <w:t>。得</w:t>
            </w:r>
            <w:r>
              <w:rPr>
                <w:rFonts w:ascii="仿宋" w:hAnsi="仿宋" w:eastAsia="仿宋" w:cs="仿宋"/>
                <w:sz w:val="24"/>
                <w:szCs w:val="24"/>
              </w:rPr>
              <w:t>1</w:t>
            </w:r>
            <w:r>
              <w:rPr>
                <w:rFonts w:hint="eastAsia" w:ascii="仿宋" w:hAnsi="仿宋" w:eastAsia="仿宋" w:cs="仿宋"/>
                <w:sz w:val="24"/>
                <w:szCs w:val="24"/>
              </w:rPr>
              <w:t>5分；</w:t>
            </w:r>
          </w:p>
          <w:p w14:paraId="419B5F3A">
            <w:pPr>
              <w:keepNext w:val="0"/>
              <w:keepLines w:val="0"/>
              <w:pageBreakBefore w:val="0"/>
              <w:widowControl w:val="0"/>
              <w:numPr>
                <w:ilvl w:val="0"/>
                <w:numId w:val="1"/>
              </w:numPr>
              <w:kinsoku/>
              <w:wordWrap/>
              <w:overflowPunct/>
              <w:topLinePunct w:val="0"/>
              <w:autoSpaceDE/>
              <w:autoSpaceDN/>
              <w:bidi w:val="0"/>
              <w:adjustRightInd/>
              <w:snapToGrid/>
              <w:spacing w:line="418"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对项目的理解基本全面，提供的说明内容清楚，并基本理解采购需求，基本了解</w:t>
            </w:r>
            <w:r>
              <w:rPr>
                <w:rFonts w:ascii="仿宋" w:hAnsi="仿宋" w:eastAsia="仿宋" w:cs="仿宋"/>
                <w:sz w:val="24"/>
                <w:szCs w:val="24"/>
              </w:rPr>
              <w:t>项目的</w:t>
            </w:r>
            <w:r>
              <w:rPr>
                <w:rFonts w:hint="eastAsia" w:ascii="仿宋" w:hAnsi="仿宋" w:eastAsia="仿宋" w:cs="仿宋"/>
                <w:sz w:val="24"/>
                <w:szCs w:val="24"/>
              </w:rPr>
              <w:t>服务范围</w:t>
            </w:r>
            <w:r>
              <w:rPr>
                <w:rFonts w:ascii="仿宋" w:hAnsi="仿宋" w:eastAsia="仿宋" w:cs="仿宋"/>
                <w:sz w:val="24"/>
                <w:szCs w:val="24"/>
              </w:rPr>
              <w:t>、</w:t>
            </w:r>
            <w:r>
              <w:rPr>
                <w:rFonts w:hint="eastAsia" w:ascii="仿宋" w:hAnsi="仿宋" w:eastAsia="仿宋" w:cs="仿宋"/>
                <w:sz w:val="24"/>
                <w:szCs w:val="24"/>
              </w:rPr>
              <w:t>核心目标</w:t>
            </w:r>
            <w:r>
              <w:rPr>
                <w:rFonts w:ascii="仿宋" w:hAnsi="仿宋" w:eastAsia="仿宋" w:cs="仿宋"/>
                <w:sz w:val="24"/>
                <w:szCs w:val="24"/>
              </w:rPr>
              <w:t>、服务内容等</w:t>
            </w:r>
            <w:r>
              <w:rPr>
                <w:rFonts w:hint="eastAsia" w:ascii="仿宋" w:hAnsi="仿宋" w:eastAsia="仿宋" w:cs="仿宋"/>
                <w:sz w:val="24"/>
                <w:szCs w:val="24"/>
              </w:rPr>
              <w:t>。得10分；</w:t>
            </w:r>
          </w:p>
          <w:p w14:paraId="3C8D5081">
            <w:pPr>
              <w:keepNext w:val="0"/>
              <w:keepLines w:val="0"/>
              <w:pageBreakBefore w:val="0"/>
              <w:widowControl w:val="0"/>
              <w:numPr>
                <w:ilvl w:val="0"/>
                <w:numId w:val="1"/>
              </w:numPr>
              <w:kinsoku/>
              <w:wordWrap/>
              <w:overflowPunct/>
              <w:topLinePunct w:val="0"/>
              <w:autoSpaceDE/>
              <w:autoSpaceDN/>
              <w:bidi w:val="0"/>
              <w:adjustRightInd/>
              <w:snapToGrid/>
              <w:spacing w:line="418"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对项目的理解不全面，提供的说明内容简单或不能完全理解采购需求或不了解项目的服务范围</w:t>
            </w:r>
            <w:r>
              <w:rPr>
                <w:rFonts w:ascii="仿宋" w:hAnsi="仿宋" w:eastAsia="仿宋" w:cs="仿宋"/>
                <w:sz w:val="24"/>
                <w:szCs w:val="24"/>
              </w:rPr>
              <w:t>、</w:t>
            </w:r>
            <w:r>
              <w:rPr>
                <w:rFonts w:hint="eastAsia" w:ascii="仿宋" w:hAnsi="仿宋" w:eastAsia="仿宋" w:cs="仿宋"/>
                <w:sz w:val="24"/>
                <w:szCs w:val="24"/>
              </w:rPr>
              <w:t>核心目标</w:t>
            </w:r>
            <w:r>
              <w:rPr>
                <w:rFonts w:ascii="仿宋" w:hAnsi="仿宋" w:eastAsia="仿宋" w:cs="仿宋"/>
                <w:sz w:val="24"/>
                <w:szCs w:val="24"/>
              </w:rPr>
              <w:t>、服务内容等</w:t>
            </w:r>
            <w:r>
              <w:rPr>
                <w:rFonts w:hint="eastAsia" w:ascii="仿宋" w:hAnsi="仿宋" w:eastAsia="仿宋" w:cs="仿宋"/>
                <w:sz w:val="24"/>
                <w:szCs w:val="24"/>
              </w:rPr>
              <w:t>。得5分；</w:t>
            </w:r>
          </w:p>
          <w:p w14:paraId="11BD6FBC">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w:t>
            </w:r>
            <w:r>
              <w:rPr>
                <w:rFonts w:ascii="仿宋" w:hAnsi="仿宋" w:eastAsia="仿宋" w:cs="仿宋"/>
                <w:sz w:val="24"/>
                <w:szCs w:val="24"/>
              </w:rPr>
              <w:t>4</w:t>
            </w:r>
            <w:r>
              <w:rPr>
                <w:rFonts w:hint="eastAsia" w:ascii="仿宋" w:hAnsi="仿宋" w:eastAsia="仿宋" w:cs="仿宋"/>
                <w:sz w:val="24"/>
                <w:szCs w:val="24"/>
              </w:rPr>
              <w:t>）提供的内容完全不适用或者未提供相关内容的，</w:t>
            </w:r>
            <w:r>
              <w:rPr>
                <w:rFonts w:ascii="仿宋" w:hAnsi="仿宋" w:eastAsia="仿宋" w:cs="仿宋"/>
                <w:sz w:val="24"/>
                <w:szCs w:val="24"/>
              </w:rPr>
              <w:t>0</w:t>
            </w:r>
            <w:r>
              <w:rPr>
                <w:rFonts w:hint="eastAsia" w:ascii="仿宋" w:hAnsi="仿宋" w:eastAsia="仿宋" w:cs="仿宋"/>
                <w:sz w:val="24"/>
                <w:szCs w:val="24"/>
              </w:rPr>
              <w:t>分。</w:t>
            </w:r>
          </w:p>
        </w:tc>
      </w:tr>
      <w:tr w14:paraId="4C1FA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71" w:type="pct"/>
            <w:vMerge w:val="continue"/>
            <w:vAlign w:val="center"/>
          </w:tcPr>
          <w:p w14:paraId="269587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rPr>
            </w:pPr>
          </w:p>
        </w:tc>
        <w:tc>
          <w:tcPr>
            <w:tcW w:w="823" w:type="pct"/>
            <w:vAlign w:val="center"/>
          </w:tcPr>
          <w:p w14:paraId="386503E3">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技术</w:t>
            </w:r>
            <w:r>
              <w:rPr>
                <w:rFonts w:hint="eastAsia" w:ascii="仿宋" w:hAnsi="仿宋" w:eastAsia="仿宋" w:cs="仿宋"/>
                <w:sz w:val="24"/>
                <w:szCs w:val="24"/>
              </w:rPr>
              <w:t>服务</w:t>
            </w:r>
            <w:r>
              <w:rPr>
                <w:rFonts w:hint="eastAsia" w:ascii="仿宋" w:hAnsi="仿宋" w:eastAsia="仿宋" w:cs="仿宋"/>
                <w:sz w:val="24"/>
                <w:szCs w:val="24"/>
                <w:lang w:eastAsia="zh-CN"/>
              </w:rPr>
              <w:t>实施</w:t>
            </w:r>
            <w:r>
              <w:rPr>
                <w:rFonts w:hint="eastAsia" w:ascii="仿宋" w:hAnsi="仿宋" w:eastAsia="仿宋" w:cs="仿宋"/>
                <w:sz w:val="24"/>
                <w:szCs w:val="24"/>
              </w:rPr>
              <w:t>方案（15分）</w:t>
            </w:r>
          </w:p>
        </w:tc>
        <w:tc>
          <w:tcPr>
            <w:tcW w:w="3504" w:type="pct"/>
          </w:tcPr>
          <w:p w14:paraId="065E2219">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根据供应商提供完整技术实施方案进行评分，方案需包含业务调研、生物医药五大垂类指标设计、多源数据采集清洗、企业评分测算、演示网页开发部署、分阶段交付实施计划、质量管控措施</w:t>
            </w:r>
            <w:r>
              <w:rPr>
                <w:rFonts w:hint="eastAsia" w:ascii="仿宋" w:hAnsi="仿宋" w:eastAsia="仿宋" w:cs="仿宋"/>
                <w:sz w:val="24"/>
                <w:szCs w:val="24"/>
                <w:lang w:eastAsia="zh-CN"/>
              </w:rPr>
              <w:t>进行评分</w:t>
            </w:r>
            <w:r>
              <w:rPr>
                <w:rFonts w:hint="eastAsia" w:ascii="仿宋" w:hAnsi="仿宋" w:eastAsia="仿宋" w:cs="仿宋"/>
                <w:sz w:val="24"/>
                <w:szCs w:val="24"/>
              </w:rPr>
              <w:t>：</w:t>
            </w:r>
          </w:p>
          <w:p w14:paraId="314D364F">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（1）实施方案全面详细，全部响应采购需求，实施计划清晰合理，技术路线科学可行，质量管控措施完善，完全满足或优于采购需求，得15分；</w:t>
            </w:r>
          </w:p>
          <w:p w14:paraId="4F8E0129">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（2）实施方案基本全面，主要采购需求均已响应，实施计划基本清楚，技术路线基本可行，质量管控措施基本到位，基本满足采购需求，得10分；</w:t>
            </w:r>
          </w:p>
          <w:p w14:paraId="24B7BAA2">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（3）实施方案不全面，部分采购需求未响应，实施计划模糊，技术措施不完善，不能完全满足采购需求，得5分；</w:t>
            </w:r>
          </w:p>
          <w:p w14:paraId="4C2F42BA">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（4）方案完全不适用采购需求或未提供，得0分。</w:t>
            </w:r>
          </w:p>
        </w:tc>
      </w:tr>
      <w:tr w14:paraId="6E745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71" w:type="pct"/>
            <w:vMerge w:val="continue"/>
            <w:vAlign w:val="center"/>
          </w:tcPr>
          <w:p w14:paraId="4B6598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p>
        </w:tc>
        <w:tc>
          <w:tcPr>
            <w:tcW w:w="823" w:type="pct"/>
            <w:vAlign w:val="center"/>
          </w:tcPr>
          <w:p w14:paraId="13868363">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数据处理与评分质量保障方案</w:t>
            </w:r>
            <w:r>
              <w:rPr>
                <w:rFonts w:hint="eastAsia" w:ascii="仿宋" w:hAnsi="仿宋" w:eastAsia="仿宋" w:cs="仿宋"/>
                <w:sz w:val="24"/>
                <w:szCs w:val="24"/>
                <w:lang w:eastAsia="zh-CN"/>
              </w:rPr>
              <w:t>（</w:t>
            </w:r>
            <w:r>
              <w:rPr>
                <w:rFonts w:ascii="仿宋" w:hAnsi="仿宋" w:eastAsia="仿宋" w:cs="仿宋"/>
                <w:sz w:val="24"/>
                <w:szCs w:val="24"/>
              </w:rPr>
              <w:t>10分</w:t>
            </w:r>
            <w:r>
              <w:rPr>
                <w:rFonts w:hint="eastAsia" w:ascii="仿宋" w:hAnsi="仿宋" w:eastAsia="仿宋" w:cs="仿宋"/>
                <w:sz w:val="24"/>
                <w:szCs w:val="24"/>
                <w:lang w:eastAsia="zh-CN"/>
              </w:rPr>
              <w:t>）</w:t>
            </w:r>
          </w:p>
        </w:tc>
        <w:tc>
          <w:tcPr>
            <w:tcW w:w="3504" w:type="pct"/>
          </w:tcPr>
          <w:p w14:paraId="22083D7D">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针对多源数据采集、数据清洗标准化、企业评分校验、评分结果可追溯、指标封顶机制落地的保障方案</w:t>
            </w:r>
            <w:r>
              <w:rPr>
                <w:rFonts w:hint="eastAsia" w:ascii="仿宋" w:hAnsi="仿宋" w:eastAsia="仿宋" w:cs="仿宋"/>
                <w:sz w:val="24"/>
                <w:szCs w:val="24"/>
                <w:lang w:eastAsia="zh-CN"/>
              </w:rPr>
              <w:t>进行评分</w:t>
            </w:r>
            <w:r>
              <w:rPr>
                <w:rFonts w:hint="eastAsia" w:ascii="仿宋" w:hAnsi="仿宋" w:eastAsia="仿宋" w:cs="仿宋"/>
                <w:sz w:val="24"/>
                <w:szCs w:val="24"/>
              </w:rPr>
              <w:t>：</w:t>
            </w:r>
          </w:p>
          <w:p w14:paraId="056A9612">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（1）方案完整详实，数据源规划清晰，数据校验、结果复核、溯源机制完备，可充分保障企业评分结果准确可靠，得10分；</w:t>
            </w:r>
          </w:p>
          <w:p w14:paraId="299B448A">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（2）方案内容较完整，具备基础的数据处理、复核机制，能够基本保障企业评分工作开展，得7分；</w:t>
            </w:r>
          </w:p>
          <w:p w14:paraId="2A6B38F2">
            <w:pPr>
              <w:keepNext w:val="0"/>
              <w:keepLines w:val="0"/>
              <w:pageBreakBefore w:val="0"/>
              <w:widowControl w:val="0"/>
              <w:numPr>
                <w:ilvl w:val="0"/>
                <w:numId w:val="0"/>
              </w:numPr>
              <w:kinsoku/>
              <w:wordWrap/>
              <w:overflowPunct/>
              <w:topLinePunct w:val="0"/>
              <w:autoSpaceDE/>
              <w:autoSpaceDN/>
              <w:bidi w:val="0"/>
              <w:adjustRightInd/>
              <w:snapToGrid/>
              <w:spacing w:line="418" w:lineRule="exact"/>
              <w:ind w:leftChars="0"/>
              <w:textAlignment w:val="auto"/>
              <w:rPr>
                <w:rFonts w:hint="eastAsia" w:ascii="仿宋" w:hAnsi="仿宋" w:eastAsia="仿宋" w:cs="仿宋"/>
                <w:sz w:val="24"/>
                <w:szCs w:val="24"/>
              </w:rPr>
            </w:pPr>
            <w:r>
              <w:rPr>
                <w:rFonts w:hint="eastAsia" w:ascii="仿宋" w:hAnsi="仿宋" w:eastAsia="仿宋" w:cs="仿宋"/>
                <w:sz w:val="24"/>
                <w:szCs w:val="24"/>
              </w:rPr>
              <w:t>（3）方案内容简单，数据处理、校验复核措施存在缺失，风险考虑不足，得4分；（4）未提供方案或方案与项目无关，得0分。</w:t>
            </w:r>
          </w:p>
        </w:tc>
      </w:tr>
      <w:tr w14:paraId="7EBE4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71" w:type="pct"/>
            <w:vMerge w:val="continue"/>
            <w:vAlign w:val="center"/>
          </w:tcPr>
          <w:p w14:paraId="71FB91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p>
        </w:tc>
        <w:tc>
          <w:tcPr>
            <w:tcW w:w="823" w:type="pct"/>
            <w:vAlign w:val="center"/>
          </w:tcPr>
          <w:p w14:paraId="5B0E3E80">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质保运维及答疑保障预案</w:t>
            </w:r>
            <w:r>
              <w:rPr>
                <w:rFonts w:hint="eastAsia" w:ascii="仿宋" w:hAnsi="仿宋" w:eastAsia="仿宋" w:cs="仿宋"/>
                <w:sz w:val="24"/>
                <w:szCs w:val="24"/>
                <w:lang w:eastAsia="zh-CN"/>
              </w:rPr>
              <w:t>（</w:t>
            </w:r>
            <w:r>
              <w:rPr>
                <w:rFonts w:ascii="仿宋" w:hAnsi="仿宋" w:eastAsia="仿宋" w:cs="仿宋"/>
                <w:sz w:val="24"/>
                <w:szCs w:val="24"/>
              </w:rPr>
              <w:t>10</w:t>
            </w:r>
            <w:r>
              <w:rPr>
                <w:rFonts w:hint="eastAsia" w:ascii="仿宋" w:hAnsi="仿宋" w:eastAsia="仿宋" w:cs="仿宋"/>
                <w:sz w:val="24"/>
                <w:szCs w:val="24"/>
              </w:rPr>
              <w:t>分</w:t>
            </w:r>
            <w:r>
              <w:rPr>
                <w:rFonts w:hint="eastAsia" w:ascii="仿宋" w:hAnsi="仿宋" w:eastAsia="仿宋" w:cs="仿宋"/>
                <w:sz w:val="24"/>
                <w:szCs w:val="24"/>
                <w:lang w:eastAsia="zh-CN"/>
              </w:rPr>
              <w:t>）</w:t>
            </w:r>
          </w:p>
        </w:tc>
        <w:tc>
          <w:tcPr>
            <w:tcW w:w="3504" w:type="pct"/>
          </w:tcPr>
          <w:p w14:paraId="11B57F37">
            <w:pPr>
              <w:keepNext w:val="0"/>
              <w:keepLines w:val="0"/>
              <w:pageBreakBefore w:val="0"/>
              <w:widowControl w:val="0"/>
              <w:numPr>
                <w:ilvl w:val="0"/>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针对项目质保期系统运维、数据动态优化、专家答疑解读、问题响应处置的保障预案</w:t>
            </w:r>
            <w:r>
              <w:rPr>
                <w:rFonts w:hint="eastAsia" w:ascii="仿宋" w:hAnsi="仿宋" w:eastAsia="仿宋" w:cs="仿宋"/>
                <w:sz w:val="24"/>
                <w:szCs w:val="24"/>
                <w:lang w:eastAsia="zh-CN"/>
              </w:rPr>
              <w:t>评分</w:t>
            </w:r>
            <w:r>
              <w:rPr>
                <w:rFonts w:hint="eastAsia" w:ascii="仿宋" w:hAnsi="仿宋" w:eastAsia="仿宋" w:cs="仿宋"/>
                <w:sz w:val="24"/>
                <w:szCs w:val="24"/>
              </w:rPr>
              <w:t>：</w:t>
            </w:r>
          </w:p>
          <w:p w14:paraId="46857E1B">
            <w:pPr>
              <w:keepNext w:val="0"/>
              <w:keepLines w:val="0"/>
              <w:pageBreakBefore w:val="0"/>
              <w:widowControl w:val="0"/>
              <w:numPr>
                <w:ilvl w:val="0"/>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（1）预案内容全面详细，人员配置充足，问题响应时效明确，问题处置流程清晰，可高效完成答疑、运维服务，得10分；</w:t>
            </w:r>
          </w:p>
          <w:p w14:paraId="441E9868">
            <w:pPr>
              <w:keepNext w:val="0"/>
              <w:keepLines w:val="0"/>
              <w:pageBreakBefore w:val="0"/>
              <w:widowControl w:val="0"/>
              <w:numPr>
                <w:ilvl w:val="0"/>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（2）预案内容基本全面，有运维答疑保障措施，人员配置基本充足，问题处置措施基本可行，得7分；</w:t>
            </w:r>
          </w:p>
          <w:p w14:paraId="2A68BC82">
            <w:pPr>
              <w:keepNext w:val="0"/>
              <w:keepLines w:val="0"/>
              <w:pageBreakBefore w:val="0"/>
              <w:widowControl w:val="0"/>
              <w:numPr>
                <w:ilvl w:val="0"/>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（3）预案内容不全面，人员安排不足，处置措施简单笼统，得4分；</w:t>
            </w:r>
          </w:p>
          <w:p w14:paraId="4C80A81D">
            <w:pPr>
              <w:keepNext w:val="0"/>
              <w:keepLines w:val="0"/>
              <w:pageBreakBefore w:val="0"/>
              <w:widowControl w:val="0"/>
              <w:numPr>
                <w:ilvl w:val="0"/>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（4）未提供预案或预案完全不适用本项目，得0分。</w:t>
            </w:r>
          </w:p>
        </w:tc>
      </w:tr>
      <w:tr w14:paraId="7824D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5" w:hRule="atLeast"/>
        </w:trPr>
        <w:tc>
          <w:tcPr>
            <w:tcW w:w="671" w:type="pct"/>
            <w:vMerge w:val="restart"/>
            <w:vAlign w:val="center"/>
          </w:tcPr>
          <w:p w14:paraId="4A6E0A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商务部分</w:t>
            </w:r>
          </w:p>
          <w:p w14:paraId="7A985D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（40分）</w:t>
            </w:r>
          </w:p>
        </w:tc>
        <w:tc>
          <w:tcPr>
            <w:tcW w:w="823" w:type="pct"/>
            <w:vAlign w:val="center"/>
          </w:tcPr>
          <w:p w14:paraId="4258339A">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项目经验</w:t>
            </w:r>
          </w:p>
          <w:p w14:paraId="4CC06101">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（15分）</w:t>
            </w:r>
          </w:p>
        </w:tc>
        <w:tc>
          <w:tcPr>
            <w:tcW w:w="3504" w:type="pct"/>
          </w:tcPr>
          <w:p w14:paraId="0582708F">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方正仿宋_GB2312" w:hAnsi="方正仿宋_GB2312" w:eastAsia="方正仿宋_GB2312" w:cs="方正仿宋_GB2312"/>
                <w:i w:val="0"/>
                <w:iCs w:val="0"/>
                <w:caps w:val="0"/>
                <w:color w:val="0F1115"/>
                <w:spacing w:val="0"/>
                <w:sz w:val="24"/>
                <w:szCs w:val="24"/>
                <w:shd w:val="clear" w:fill="FFFFFF"/>
              </w:rPr>
              <w:t>供应商自202</w:t>
            </w:r>
            <w:r>
              <w:rPr>
                <w:rFonts w:hint="eastAsia" w:ascii="方正仿宋_GB2312" w:hAnsi="方正仿宋_GB2312" w:eastAsia="方正仿宋_GB2312" w:cs="方正仿宋_GB2312"/>
                <w:i w:val="0"/>
                <w:iCs w:val="0"/>
                <w:caps w:val="0"/>
                <w:color w:val="0F1115"/>
                <w:spacing w:val="0"/>
                <w:sz w:val="24"/>
                <w:szCs w:val="24"/>
                <w:shd w:val="clear" w:fill="FFFFFF"/>
                <w:lang w:eastAsia="zh-CN"/>
              </w:rPr>
              <w:t>2</w:t>
            </w:r>
            <w:r>
              <w:rPr>
                <w:rFonts w:hint="eastAsia" w:ascii="方正仿宋_GB2312" w:hAnsi="方正仿宋_GB2312" w:eastAsia="方正仿宋_GB2312" w:cs="方正仿宋_GB2312"/>
                <w:i w:val="0"/>
                <w:iCs w:val="0"/>
                <w:caps w:val="0"/>
                <w:color w:val="0F1115"/>
                <w:spacing w:val="0"/>
                <w:sz w:val="24"/>
                <w:szCs w:val="24"/>
                <w:shd w:val="clear" w:fill="FFFFFF"/>
              </w:rPr>
              <w:t>年1月1日至评审当日，具有数据服务、企业评估、产业分析、软件开发、信息化建设等相关领域项目经验或自有产品</w:t>
            </w:r>
            <w:r>
              <w:rPr>
                <w:rFonts w:hint="eastAsia" w:ascii="方正仿宋_GB2312" w:hAnsi="方正仿宋_GB2312" w:eastAsia="方正仿宋_GB2312" w:cs="方正仿宋_GB2312"/>
                <w:i w:val="0"/>
                <w:iCs w:val="0"/>
                <w:caps w:val="0"/>
                <w:color w:val="0F1115"/>
                <w:spacing w:val="0"/>
                <w:sz w:val="24"/>
                <w:szCs w:val="24"/>
                <w:shd w:val="clear" w:fill="FFFFFF"/>
                <w:lang w:eastAsia="zh-CN"/>
              </w:rPr>
              <w:t>，</w:t>
            </w:r>
            <w:r>
              <w:rPr>
                <w:rFonts w:hint="eastAsia" w:ascii="方正仿宋_GB2312" w:hAnsi="方正仿宋_GB2312" w:eastAsia="方正仿宋_GB2312" w:cs="方正仿宋_GB2312"/>
                <w:i w:val="0"/>
                <w:iCs w:val="0"/>
                <w:caps w:val="0"/>
                <w:color w:val="0F1115"/>
                <w:spacing w:val="0"/>
                <w:sz w:val="24"/>
                <w:szCs w:val="24"/>
                <w:shd w:val="clear" w:fill="FFFFFF"/>
                <w:lang w:val="en-US" w:eastAsia="zh-CN"/>
              </w:rPr>
              <w:t>或从事科技相关行业的企业</w:t>
            </w:r>
            <w:r>
              <w:rPr>
                <w:rFonts w:hint="eastAsia" w:ascii="方正仿宋_GB2312" w:hAnsi="方正仿宋_GB2312" w:eastAsia="方正仿宋_GB2312" w:cs="方正仿宋_GB2312"/>
                <w:i w:val="0"/>
                <w:iCs w:val="0"/>
                <w:caps w:val="0"/>
                <w:color w:val="0F1115"/>
                <w:spacing w:val="0"/>
                <w:sz w:val="24"/>
                <w:szCs w:val="24"/>
                <w:shd w:val="clear" w:fill="FFFFFF"/>
              </w:rPr>
              <w:t>。每提供一个有效证明材料得3分，满分15分。</w:t>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b w:val="0"/>
                <w:bCs w:val="0"/>
                <w:i w:val="0"/>
                <w:iCs w:val="0"/>
                <w:caps w:val="0"/>
                <w:color w:val="0F1115"/>
                <w:spacing w:val="0"/>
                <w:sz w:val="24"/>
                <w:szCs w:val="24"/>
                <w:shd w:val="clear" w:fill="FFFFFF"/>
              </w:rPr>
              <w:t>有效证明材料</w:t>
            </w:r>
            <w:r>
              <w:rPr>
                <w:rFonts w:hint="eastAsia" w:ascii="方正仿宋_GB2312" w:hAnsi="方正仿宋_GB2312" w:eastAsia="方正仿宋_GB2312" w:cs="方正仿宋_GB2312"/>
                <w:i w:val="0"/>
                <w:iCs w:val="0"/>
                <w:caps w:val="0"/>
                <w:color w:val="0F1115"/>
                <w:spacing w:val="0"/>
                <w:sz w:val="24"/>
                <w:szCs w:val="24"/>
                <w:shd w:val="clear" w:fill="FFFFFF"/>
              </w:rPr>
              <w:t>包括但不限于：</w:t>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i w:val="0"/>
                <w:iCs w:val="0"/>
                <w:caps w:val="0"/>
                <w:color w:val="0F1115"/>
                <w:spacing w:val="0"/>
                <w:sz w:val="24"/>
                <w:szCs w:val="24"/>
                <w:shd w:val="clear" w:fill="FFFFFF"/>
              </w:rPr>
              <w:t>合同关键页复印件（体现项目名称、甲乙双方、项目内容、签订时间）；</w:t>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i w:val="0"/>
                <w:iCs w:val="0"/>
                <w:caps w:val="0"/>
                <w:color w:val="0F1115"/>
                <w:spacing w:val="0"/>
                <w:sz w:val="24"/>
                <w:szCs w:val="24"/>
                <w:shd w:val="clear" w:fill="FFFFFF"/>
              </w:rPr>
              <w:t>项目验收报告或用户使用证明；</w:t>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i w:val="0"/>
                <w:iCs w:val="0"/>
                <w:caps w:val="0"/>
                <w:color w:val="0F1115"/>
                <w:spacing w:val="0"/>
                <w:sz w:val="24"/>
                <w:szCs w:val="24"/>
                <w:shd w:val="clear" w:fill="FFFFFF"/>
              </w:rPr>
              <w:t>自有产品截图、系统界面截图或平台功能说明（需体现供应商名称及产品用途）；</w:t>
            </w:r>
            <w:r>
              <w:rPr>
                <w:rFonts w:hint="eastAsia" w:ascii="方正仿宋_GB2312" w:hAnsi="方正仿宋_GB2312" w:eastAsia="方正仿宋_GB2312" w:cs="方正仿宋_GB2312"/>
                <w:i w:val="0"/>
                <w:iCs w:val="0"/>
                <w:caps w:val="0"/>
                <w:color w:val="0F1115"/>
                <w:spacing w:val="0"/>
                <w:sz w:val="24"/>
                <w:szCs w:val="24"/>
                <w:shd w:val="clear" w:fill="FFFFFF"/>
              </w:rPr>
              <w:br w:type="textWrapping"/>
            </w:r>
            <w:r>
              <w:rPr>
                <w:rFonts w:hint="eastAsia" w:ascii="方正仿宋_GB2312" w:hAnsi="方正仿宋_GB2312" w:eastAsia="方正仿宋_GB2312" w:cs="方正仿宋_GB2312"/>
                <w:i w:val="0"/>
                <w:iCs w:val="0"/>
                <w:caps w:val="0"/>
                <w:color w:val="0F1115"/>
                <w:spacing w:val="0"/>
                <w:sz w:val="24"/>
                <w:szCs w:val="24"/>
                <w:shd w:val="clear" w:fill="FFFFFF"/>
              </w:rPr>
              <w:t>其他可证明相关经验的书面材料（如服务记录、数据报告样例等）。</w:t>
            </w:r>
          </w:p>
        </w:tc>
      </w:tr>
      <w:tr w14:paraId="648D1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6" w:hRule="atLeast"/>
        </w:trPr>
        <w:tc>
          <w:tcPr>
            <w:tcW w:w="671" w:type="pct"/>
            <w:vMerge w:val="continue"/>
            <w:vAlign w:val="center"/>
          </w:tcPr>
          <w:p w14:paraId="2E56F7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p>
        </w:tc>
        <w:tc>
          <w:tcPr>
            <w:tcW w:w="823" w:type="pct"/>
            <w:vAlign w:val="center"/>
          </w:tcPr>
          <w:p w14:paraId="231CC421">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项目团队配置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25</w:t>
            </w:r>
            <w:r>
              <w:rPr>
                <w:rFonts w:hint="eastAsia" w:ascii="仿宋" w:hAnsi="仿宋" w:eastAsia="仿宋" w:cs="仿宋"/>
                <w:sz w:val="24"/>
                <w:szCs w:val="24"/>
              </w:rPr>
              <w:t>分</w:t>
            </w:r>
            <w:r>
              <w:rPr>
                <w:rFonts w:hint="eastAsia" w:ascii="仿宋" w:hAnsi="仿宋" w:eastAsia="仿宋" w:cs="仿宋"/>
                <w:sz w:val="24"/>
                <w:szCs w:val="24"/>
                <w:lang w:eastAsia="zh-CN"/>
              </w:rPr>
              <w:t>）</w:t>
            </w:r>
          </w:p>
        </w:tc>
        <w:tc>
          <w:tcPr>
            <w:tcW w:w="3504" w:type="pct"/>
          </w:tcPr>
          <w:p w14:paraId="7878E71E">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根据供应商拟投入本项目的团队整体实力进行评分（须提供人员清单、简历等材料，加盖公章）：</w:t>
            </w:r>
          </w:p>
          <w:p w14:paraId="26CF85C3">
            <w:pPr>
              <w:keepNext w:val="0"/>
              <w:keepLines w:val="0"/>
              <w:pageBreakBefore w:val="0"/>
              <w:widowControl w:val="0"/>
              <w:numPr>
                <w:ilvl w:val="-1"/>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（1）项目负责人（</w:t>
            </w:r>
            <w:r>
              <w:rPr>
                <w:rFonts w:hint="eastAsia" w:ascii="仿宋" w:hAnsi="仿宋" w:eastAsia="仿宋" w:cs="仿宋"/>
                <w:sz w:val="24"/>
                <w:szCs w:val="24"/>
                <w:lang w:val="en-US" w:eastAsia="zh-CN"/>
              </w:rPr>
              <w:t>9</w:t>
            </w:r>
            <w:r>
              <w:rPr>
                <w:rFonts w:hint="eastAsia" w:ascii="仿宋" w:hAnsi="仿宋" w:eastAsia="仿宋" w:cs="仿宋"/>
                <w:sz w:val="24"/>
                <w:szCs w:val="24"/>
              </w:rPr>
              <w:t>分）：具有</w:t>
            </w:r>
            <w:r>
              <w:rPr>
                <w:rFonts w:hint="eastAsia" w:ascii="仿宋" w:hAnsi="仿宋" w:eastAsia="仿宋" w:cs="仿宋"/>
                <w:sz w:val="24"/>
                <w:szCs w:val="24"/>
                <w:lang w:val="en-US" w:eastAsia="zh-CN"/>
              </w:rPr>
              <w:t>硕士及以上学历，得5分；</w:t>
            </w:r>
            <w:r>
              <w:rPr>
                <w:rFonts w:hint="eastAsia" w:ascii="仿宋" w:hAnsi="仿宋" w:eastAsia="仿宋" w:cs="仿宋"/>
                <w:sz w:val="24"/>
                <w:szCs w:val="24"/>
              </w:rPr>
              <w:t>具有</w:t>
            </w:r>
            <w:r>
              <w:rPr>
                <w:rFonts w:hint="eastAsia" w:ascii="仿宋" w:hAnsi="仿宋" w:eastAsia="仿宋" w:cs="仿宋"/>
                <w:sz w:val="24"/>
                <w:szCs w:val="24"/>
                <w:lang w:val="en-US" w:eastAsia="zh-CN"/>
              </w:rPr>
              <w:t>学士学历，得3分；</w:t>
            </w:r>
          </w:p>
          <w:p w14:paraId="48906B17">
            <w:pPr>
              <w:keepNext w:val="0"/>
              <w:keepLines w:val="0"/>
              <w:pageBreakBefore w:val="0"/>
              <w:widowControl w:val="0"/>
              <w:numPr>
                <w:ilvl w:val="-1"/>
                <w:numId w:val="0"/>
              </w:numPr>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具有8</w:t>
            </w:r>
            <w:r>
              <w:rPr>
                <w:rFonts w:hint="eastAsia" w:ascii="仿宋" w:hAnsi="仿宋" w:eastAsia="仿宋" w:cs="仿宋"/>
                <w:sz w:val="24"/>
                <w:szCs w:val="24"/>
              </w:rPr>
              <w:t>年以上信息技术、数据分析、产业研究等相关领域工作经验，得</w:t>
            </w:r>
            <w:r>
              <w:rPr>
                <w:rFonts w:hint="eastAsia" w:ascii="仿宋" w:hAnsi="仿宋" w:eastAsia="仿宋" w:cs="仿宋"/>
                <w:sz w:val="24"/>
                <w:szCs w:val="24"/>
                <w:lang w:val="en-US" w:eastAsia="zh-CN"/>
              </w:rPr>
              <w:t>4</w:t>
            </w:r>
            <w:r>
              <w:rPr>
                <w:rFonts w:hint="eastAsia" w:ascii="仿宋" w:hAnsi="仿宋" w:eastAsia="仿宋" w:cs="仿宋"/>
                <w:sz w:val="24"/>
                <w:szCs w:val="24"/>
              </w:rPr>
              <w:t>分；具有</w:t>
            </w:r>
            <w:r>
              <w:rPr>
                <w:rFonts w:hint="eastAsia" w:ascii="仿宋" w:hAnsi="仿宋" w:eastAsia="仿宋" w:cs="仿宋"/>
                <w:sz w:val="24"/>
                <w:szCs w:val="24"/>
                <w:lang w:val="en-US" w:eastAsia="zh-CN"/>
              </w:rPr>
              <w:t>3</w:t>
            </w:r>
            <w:r>
              <w:rPr>
                <w:rFonts w:hint="eastAsia" w:ascii="仿宋" w:hAnsi="仿宋" w:eastAsia="仿宋" w:cs="仿宋"/>
                <w:sz w:val="24"/>
                <w:szCs w:val="24"/>
              </w:rPr>
              <w:t>年以上（含）不足</w:t>
            </w:r>
            <w:r>
              <w:rPr>
                <w:rFonts w:hint="eastAsia" w:ascii="仿宋" w:hAnsi="仿宋" w:eastAsia="仿宋" w:cs="仿宋"/>
                <w:sz w:val="24"/>
                <w:szCs w:val="24"/>
                <w:lang w:val="en-US" w:eastAsia="zh-CN"/>
              </w:rPr>
              <w:t>8</w:t>
            </w:r>
            <w:r>
              <w:rPr>
                <w:rFonts w:hint="eastAsia" w:ascii="仿宋" w:hAnsi="仿宋" w:eastAsia="仿宋" w:cs="仿宋"/>
                <w:sz w:val="24"/>
                <w:szCs w:val="24"/>
              </w:rPr>
              <w:t>年的，得</w:t>
            </w:r>
            <w:r>
              <w:rPr>
                <w:rFonts w:hint="eastAsia" w:ascii="仿宋" w:hAnsi="仿宋" w:eastAsia="仿宋" w:cs="仿宋"/>
                <w:sz w:val="24"/>
                <w:szCs w:val="24"/>
                <w:lang w:val="en-US" w:eastAsia="zh-CN"/>
              </w:rPr>
              <w:t>2</w:t>
            </w:r>
            <w:r>
              <w:rPr>
                <w:rFonts w:hint="eastAsia" w:ascii="仿宋" w:hAnsi="仿宋" w:eastAsia="仿宋" w:cs="仿宋"/>
                <w:sz w:val="24"/>
                <w:szCs w:val="24"/>
              </w:rPr>
              <w:t>分；不足</w:t>
            </w:r>
            <w:r>
              <w:rPr>
                <w:rFonts w:hint="eastAsia" w:ascii="仿宋" w:hAnsi="仿宋" w:eastAsia="仿宋" w:cs="仿宋"/>
                <w:sz w:val="24"/>
                <w:szCs w:val="24"/>
                <w:lang w:val="en-US" w:eastAsia="zh-CN"/>
              </w:rPr>
              <w:t>3</w:t>
            </w:r>
            <w:r>
              <w:rPr>
                <w:rFonts w:hint="eastAsia" w:ascii="仿宋" w:hAnsi="仿宋" w:eastAsia="仿宋" w:cs="仿宋"/>
                <w:sz w:val="24"/>
                <w:szCs w:val="24"/>
              </w:rPr>
              <w:t>年或未提供证明的不得分。</w:t>
            </w:r>
          </w:p>
          <w:p w14:paraId="62DE98AC">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（2）团队人员数量（4分）：项目团队（不含负责人）总数不少于</w:t>
            </w:r>
            <w:r>
              <w:rPr>
                <w:rFonts w:hint="eastAsia" w:ascii="仿宋" w:hAnsi="仿宋" w:eastAsia="仿宋" w:cs="仿宋"/>
                <w:sz w:val="24"/>
                <w:szCs w:val="24"/>
                <w:lang w:eastAsia="zh-CN"/>
              </w:rPr>
              <w:t>3</w:t>
            </w:r>
            <w:r>
              <w:rPr>
                <w:rFonts w:hint="eastAsia" w:ascii="仿宋" w:hAnsi="仿宋" w:eastAsia="仿宋" w:cs="仿宋"/>
                <w:sz w:val="24"/>
                <w:szCs w:val="24"/>
              </w:rPr>
              <w:t>人，得4分，否则不得分。</w:t>
            </w:r>
          </w:p>
          <w:p w14:paraId="1DEAFCC8">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（3）团队工作经验（6分）：团队其他成员中，具有2年以上相关领域（</w:t>
            </w:r>
            <w:r>
              <w:rPr>
                <w:rFonts w:hint="eastAsia" w:ascii="仿宋" w:hAnsi="仿宋" w:eastAsia="仿宋" w:cs="仿宋"/>
                <w:sz w:val="24"/>
                <w:szCs w:val="24"/>
                <w:lang w:val="en-US" w:eastAsia="zh-CN"/>
              </w:rPr>
              <w:t>软件开发、</w:t>
            </w:r>
            <w:r>
              <w:rPr>
                <w:rFonts w:hint="eastAsia" w:ascii="仿宋" w:hAnsi="仿宋" w:eastAsia="仿宋" w:cs="仿宋"/>
                <w:sz w:val="24"/>
                <w:szCs w:val="24"/>
              </w:rPr>
              <w:t>信息技术、数据分析、产业研究、平台运营等）工作经验的，每人得2分，最高6分。</w:t>
            </w:r>
          </w:p>
          <w:p w14:paraId="61C85E0B">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团队人员学历水平</w:t>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分）：团队其他成员中，具有硕士及以上学历的，每人得2分，最高6分。</w:t>
            </w:r>
          </w:p>
        </w:tc>
      </w:tr>
      <w:tr w14:paraId="58378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671" w:type="pct"/>
            <w:vAlign w:val="center"/>
          </w:tcPr>
          <w:p w14:paraId="38326C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投标报价部分</w:t>
            </w:r>
          </w:p>
          <w:p w14:paraId="0174A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（10分）</w:t>
            </w:r>
          </w:p>
        </w:tc>
        <w:tc>
          <w:tcPr>
            <w:tcW w:w="823" w:type="pct"/>
            <w:vAlign w:val="center"/>
          </w:tcPr>
          <w:p w14:paraId="748B76F7">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投标报价</w:t>
            </w:r>
          </w:p>
          <w:p w14:paraId="255FDF17">
            <w:pPr>
              <w:keepNext w:val="0"/>
              <w:keepLines w:val="0"/>
              <w:pageBreakBefore w:val="0"/>
              <w:widowControl w:val="0"/>
              <w:kinsoku/>
              <w:wordWrap/>
              <w:overflowPunct/>
              <w:topLinePunct w:val="0"/>
              <w:autoSpaceDE/>
              <w:autoSpaceDN/>
              <w:bidi w:val="0"/>
              <w:adjustRightInd/>
              <w:snapToGrid/>
              <w:spacing w:line="418"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（10分）</w:t>
            </w:r>
          </w:p>
        </w:tc>
        <w:tc>
          <w:tcPr>
            <w:tcW w:w="3504" w:type="pct"/>
          </w:tcPr>
          <w:p w14:paraId="69FE3006">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价格分采用低价优先法计算，即满足采购公告和采购需求文档要求且最终响应价格最低的响应报价为评审基准价，其价格分为满分。其他投标人的价格分统一按照下列公式计算：</w:t>
            </w:r>
          </w:p>
          <w:p w14:paraId="578538A2">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投标报价得分＝（评审基准价／投标报价）×投标报价分值</w:t>
            </w:r>
          </w:p>
          <w:p w14:paraId="2CDA929E">
            <w:pPr>
              <w:keepNext w:val="0"/>
              <w:keepLines w:val="0"/>
              <w:pageBreakBefore w:val="0"/>
              <w:widowControl w:val="0"/>
              <w:kinsoku/>
              <w:wordWrap/>
              <w:overflowPunct/>
              <w:topLinePunct w:val="0"/>
              <w:autoSpaceDE/>
              <w:autoSpaceDN/>
              <w:bidi w:val="0"/>
              <w:adjustRightInd/>
              <w:snapToGrid/>
              <w:spacing w:line="418" w:lineRule="exact"/>
              <w:textAlignment w:val="auto"/>
              <w:rPr>
                <w:rFonts w:hint="eastAsia" w:ascii="仿宋" w:hAnsi="仿宋" w:eastAsia="仿宋" w:cs="仿宋"/>
                <w:sz w:val="24"/>
                <w:szCs w:val="24"/>
              </w:rPr>
            </w:pPr>
            <w:r>
              <w:rPr>
                <w:rFonts w:hint="eastAsia" w:ascii="仿宋" w:hAnsi="仿宋" w:eastAsia="仿宋" w:cs="仿宋"/>
                <w:sz w:val="24"/>
                <w:szCs w:val="24"/>
              </w:rPr>
              <w:t>投标报价得分四舍五入后，小数点后保留两位小数。最低报价不是成交的唯一依据。</w:t>
            </w:r>
          </w:p>
        </w:tc>
      </w:tr>
    </w:tbl>
    <w:p w14:paraId="1FC34537">
      <w:pPr>
        <w:bidi w:val="0"/>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C8A702-FFFE-449E-9A18-EE81BAB11D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1A4AF22-C505-44AE-94F8-874845E10A93}"/>
  </w:font>
  <w:font w:name="楷体_GB2312">
    <w:altName w:val="楷体"/>
    <w:panose1 w:val="02010609030101010101"/>
    <w:charset w:val="86"/>
    <w:family w:val="modern"/>
    <w:pitch w:val="default"/>
    <w:sig w:usb0="00000000" w:usb1="00000000" w:usb2="00000000" w:usb3="00000000" w:csb0="00040000" w:csb1="00000000"/>
    <w:embedRegular r:id="rId3" w:fontKey="{88F5F85A-97A4-4C24-8258-61F914758D9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4" w:fontKey="{340F35BE-7058-40C2-96FA-A8B33DEBD34E}"/>
  </w:font>
  <w:font w:name="仿宋">
    <w:panose1 w:val="02010609060101010101"/>
    <w:charset w:val="86"/>
    <w:family w:val="modern"/>
    <w:pitch w:val="default"/>
    <w:sig w:usb0="800002BF" w:usb1="38CF7CFA" w:usb2="00000016" w:usb3="00000000" w:csb0="00040001" w:csb1="00000000"/>
    <w:embedRegular r:id="rId5" w:fontKey="{2D6E783C-C7EA-4DC3-B7D1-B15E4D0B19FE}"/>
  </w:font>
  <w:font w:name="方正小标宋简体">
    <w:panose1 w:val="02000000000000000000"/>
    <w:charset w:val="86"/>
    <w:family w:val="script"/>
    <w:pitch w:val="default"/>
    <w:sig w:usb0="00000001" w:usb1="08000000" w:usb2="00000000" w:usb3="00000000" w:csb0="00040000" w:csb1="00000000"/>
    <w:embedRegular r:id="rId6" w:fontKey="{0411153C-E6C7-4D67-ABFC-C1BF408EFBF8}"/>
  </w:font>
  <w:font w:name="方正仿宋_GB2312">
    <w:panose1 w:val="02000000000000000000"/>
    <w:charset w:val="86"/>
    <w:family w:val="auto"/>
    <w:pitch w:val="default"/>
    <w:sig w:usb0="A00002BF" w:usb1="184F6CFA" w:usb2="00000012" w:usb3="00000000" w:csb0="00040001" w:csb1="00000000"/>
    <w:embedRegular r:id="rId7" w:fontKey="{49555A38-B0A4-4E8E-941E-082B4E0D98A4}"/>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DB02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40778">
                          <w:pPr>
                            <w:pStyle w:val="14"/>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65040778">
                    <w:pPr>
                      <w:pStyle w:val="14"/>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806D">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985BB">
                          <w:pPr>
                            <w:pStyle w:val="14"/>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yfLg04AgAAawQAAA4AAABkcnMvZTJvRG9jLnhtbK1UzY7T&#10;MBC+I/EOlu80aXdZVVXTVdmqCKliVyqIs+s4TST/yXablAeAN+DEhTvP1efgs9N2YeGwBy7OeGY8&#10;M983M5nedkqSvXC+Mbqgw0FOidDclI3eFvTjh+WrMSU+MF0yabQo6EF4ejt7+WLa2okYmdrIUjiC&#10;INpPWlvQOgQ7yTLPa6GYHxgrNIyVcYoFXN02Kx1rEV3JbJTnN1lrXGmd4cJ7aBe9kZ4iuucENFXV&#10;cLEwfKeEDn1UJyQLgOTrxno6S9VWleDhvqq8CEQWFEhDOpEE8iae2WzKJlvHbN3wUwnsOSU8waRY&#10;o5H0EmrBAiM71/wVSjXcGW+qMOBGZT2QxAhQDPMn3KxrZkXCAqq9vZDu/19Y/n7/4EhTFvSaEs0U&#10;Gn789vX4/efxxxdyHelprZ/Aa23hF7o3psPQnPUeyoi6q5yKX+AhsIPcw4Vc0QXC46PxaDzOYeKw&#10;nS+Inz0+t86Ht8IoEoWCOnQvkcr2Kx9617NLzKbNspEydVBq0hb05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J8uDTgCAABrBAAADgAAAAAAAAABACAAAAAlAQAAZHJzL2Uy&#10;b0RvYy54bWxQSwUGAAAAAAYABgBZAQAAzwUAAAAA&#10;">
              <v:fill on="f" focussize="0,0"/>
              <v:stroke on="f" weight="0.5pt"/>
              <v:imagedata o:title=""/>
              <o:lock v:ext="edit" aspectratio="f"/>
              <v:textbox inset="16pt,0mm,16pt,0mm" style="mso-fit-shape-to-text:t;">
                <w:txbxContent>
                  <w:p w14:paraId="0D9985BB">
                    <w:pPr>
                      <w:pStyle w:val="14"/>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A1FB2">
    <w:pPr>
      <w:pBdr>
        <w:bottom w:val="none" w:color="auto" w:sz="0" w:space="1"/>
      </w:pBdr>
      <w:tabs>
        <w:tab w:val="center" w:pos="4153"/>
        <w:tab w:val="right" w:pos="8306"/>
      </w:tabs>
      <w:snapToGrid w:val="0"/>
      <w:jc w:val="left"/>
      <w:rPr>
        <w:rFonts w:ascii="Calibri" w:hAnsi="Calibr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8A31E">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9B12E"/>
    <w:multiLevelType w:val="singleLevel"/>
    <w:tmpl w:val="AEB9B12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83"/>
    <w:rsid w:val="000235F2"/>
    <w:rsid w:val="000B5783"/>
    <w:rsid w:val="003A6467"/>
    <w:rsid w:val="003C0C95"/>
    <w:rsid w:val="00780758"/>
    <w:rsid w:val="007F7BC6"/>
    <w:rsid w:val="0095071F"/>
    <w:rsid w:val="00CF711F"/>
    <w:rsid w:val="00E9785E"/>
    <w:rsid w:val="00EA0DB2"/>
    <w:rsid w:val="0135275B"/>
    <w:rsid w:val="063D2A4A"/>
    <w:rsid w:val="0EE7C1FB"/>
    <w:rsid w:val="12474FE2"/>
    <w:rsid w:val="13494DE8"/>
    <w:rsid w:val="17414B23"/>
    <w:rsid w:val="18C70119"/>
    <w:rsid w:val="1B2E7CF4"/>
    <w:rsid w:val="1F7E36AB"/>
    <w:rsid w:val="20CD6673"/>
    <w:rsid w:val="262F2309"/>
    <w:rsid w:val="2D2A79B8"/>
    <w:rsid w:val="343D5582"/>
    <w:rsid w:val="345878B8"/>
    <w:rsid w:val="34D1797B"/>
    <w:rsid w:val="378F799B"/>
    <w:rsid w:val="3C982E0A"/>
    <w:rsid w:val="3E789E5C"/>
    <w:rsid w:val="3E9478AA"/>
    <w:rsid w:val="42AA42ED"/>
    <w:rsid w:val="42AE05F3"/>
    <w:rsid w:val="478B35BB"/>
    <w:rsid w:val="4F95295F"/>
    <w:rsid w:val="50DC230B"/>
    <w:rsid w:val="52284ACC"/>
    <w:rsid w:val="57AA40DC"/>
    <w:rsid w:val="5A164922"/>
    <w:rsid w:val="5AFF227B"/>
    <w:rsid w:val="5BB60613"/>
    <w:rsid w:val="5CFB3F0D"/>
    <w:rsid w:val="5DE448E9"/>
    <w:rsid w:val="5EA62B34"/>
    <w:rsid w:val="62F87554"/>
    <w:rsid w:val="6622729B"/>
    <w:rsid w:val="66B02555"/>
    <w:rsid w:val="67FE5B93"/>
    <w:rsid w:val="6D58F945"/>
    <w:rsid w:val="6DC63D25"/>
    <w:rsid w:val="7163683E"/>
    <w:rsid w:val="74E42642"/>
    <w:rsid w:val="75AB21F5"/>
    <w:rsid w:val="75B06BD5"/>
    <w:rsid w:val="777F9755"/>
    <w:rsid w:val="78801C2E"/>
    <w:rsid w:val="7C824F1B"/>
    <w:rsid w:val="ABD3EAD5"/>
    <w:rsid w:val="B6FC9FA1"/>
    <w:rsid w:val="DBADDA85"/>
    <w:rsid w:val="DFD724B9"/>
    <w:rsid w:val="DFF1032E"/>
    <w:rsid w:val="E46BC21B"/>
    <w:rsid w:val="EBBF46C8"/>
    <w:rsid w:val="EEF7D96B"/>
    <w:rsid w:val="EFF9DDD3"/>
    <w:rsid w:val="F36F9A5F"/>
    <w:rsid w:val="FAAF2421"/>
    <w:rsid w:val="FD6475DC"/>
    <w:rsid w:val="FF67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4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0"/>
    <w:pPr>
      <w:ind w:firstLine="420"/>
    </w:pPr>
  </w:style>
  <w:style w:type="paragraph" w:styleId="12">
    <w:name w:val="annotation text"/>
    <w:basedOn w:val="1"/>
    <w:link w:val="39"/>
    <w:qFormat/>
    <w:uiPriority w:val="0"/>
    <w:pPr>
      <w:jc w:val="left"/>
    </w:pPr>
  </w:style>
  <w:style w:type="paragraph" w:styleId="1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8">
    <w:name w:val="annotation subject"/>
    <w:basedOn w:val="12"/>
    <w:next w:val="12"/>
    <w:link w:val="40"/>
    <w:qFormat/>
    <w:uiPriority w:val="0"/>
    <w:rPr>
      <w:b/>
      <w:bCs/>
    </w:r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paragraph" w:customStyle="1" w:styleId="23">
    <w:name w:val="样式1"/>
    <w:basedOn w:val="24"/>
    <w:qFormat/>
    <w:uiPriority w:val="0"/>
    <w:pPr>
      <w:spacing w:line="579" w:lineRule="exact"/>
      <w:ind w:firstLine="640" w:firstLineChars="200"/>
    </w:pPr>
    <w:rPr>
      <w:rFonts w:ascii="Calibri" w:cs="Times New Roman"/>
    </w:rPr>
  </w:style>
  <w:style w:type="paragraph" w:customStyle="1" w:styleId="24">
    <w:name w:val="正文1"/>
    <w:basedOn w:val="25"/>
    <w:qFormat/>
    <w:uiPriority w:val="0"/>
    <w:pPr>
      <w:ind w:firstLine="708" w:firstLineChars="236"/>
    </w:pPr>
    <w:rPr>
      <w:rFonts w:ascii="仿宋_GB2312" w:hAnsi="Calibri" w:eastAsia="仿宋_GB2312" w:cs="仿宋_GB2312"/>
      <w:sz w:val="30"/>
      <w:szCs w:val="30"/>
    </w:rPr>
  </w:style>
  <w:style w:type="paragraph" w:styleId="25">
    <w:name w:val="List Paragraph"/>
    <w:basedOn w:val="1"/>
    <w:qFormat/>
    <w:uiPriority w:val="34"/>
    <w:pPr>
      <w:ind w:firstLine="420" w:firstLineChars="200"/>
    </w:p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标题 2 Char"/>
    <w:qFormat/>
    <w:uiPriority w:val="0"/>
    <w:rPr>
      <w:rFonts w:ascii="Times New Roman" w:hAnsi="Times New Roman" w:eastAsia="楷体_GB2312" w:cs="楷体_GB2312"/>
      <w:sz w:val="32"/>
      <w:szCs w:val="32"/>
    </w:rPr>
  </w:style>
  <w:style w:type="character" w:customStyle="1" w:styleId="28">
    <w:name w:val="标题 3 Char"/>
    <w:qFormat/>
    <w:uiPriority w:val="0"/>
    <w:rPr>
      <w:rFonts w:ascii="Times New Roman" w:hAnsi="Times New Roman" w:eastAsia="仿宋_GB2312" w:cs="仿宋_GB2312"/>
      <w:sz w:val="32"/>
      <w:szCs w:val="32"/>
    </w:rPr>
  </w:style>
  <w:style w:type="paragraph" w:customStyle="1" w:styleId="29">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eastAsia="宋体" w:cs="宋体"/>
      <w:szCs w:val="21"/>
      <w:lang w:eastAsia="en-US"/>
    </w:rPr>
  </w:style>
  <w:style w:type="paragraph" w:customStyle="1" w:styleId="32">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33">
    <w:name w:val="标题 2 Char1"/>
    <w:qFormat/>
    <w:uiPriority w:val="0"/>
    <w:rPr>
      <w:rFonts w:ascii="Times New Roman" w:hAnsi="Times New Roman" w:eastAsia="楷体_GB2312" w:cs="楷体_GB2312"/>
      <w:sz w:val="32"/>
      <w:szCs w:val="32"/>
    </w:rPr>
  </w:style>
  <w:style w:type="character" w:customStyle="1" w:styleId="34">
    <w:name w:val="标题 2 Char2"/>
    <w:qFormat/>
    <w:uiPriority w:val="0"/>
    <w:rPr>
      <w:rFonts w:ascii="Times New Roman" w:hAnsi="Times New Roman" w:eastAsia="楷体_GB2312" w:cs="楷体_GB2312"/>
      <w:sz w:val="32"/>
      <w:szCs w:val="32"/>
    </w:rPr>
  </w:style>
  <w:style w:type="character" w:customStyle="1" w:styleId="35">
    <w:name w:val="标题 2 Char3"/>
    <w:qFormat/>
    <w:uiPriority w:val="0"/>
    <w:rPr>
      <w:rFonts w:ascii="Times New Roman" w:hAnsi="Times New Roman" w:eastAsia="楷体_GB2312" w:cs="楷体_GB2312"/>
      <w:sz w:val="32"/>
      <w:szCs w:val="32"/>
    </w:rPr>
  </w:style>
  <w:style w:type="character" w:customStyle="1" w:styleId="36">
    <w:name w:val="标题 2 Char4"/>
    <w:qFormat/>
    <w:uiPriority w:val="0"/>
    <w:rPr>
      <w:rFonts w:ascii="Times New Roman" w:hAnsi="Times New Roman" w:eastAsia="楷体_GB2312" w:cs="楷体_GB2312"/>
      <w:sz w:val="32"/>
      <w:szCs w:val="32"/>
    </w:rPr>
  </w:style>
  <w:style w:type="character" w:customStyle="1" w:styleId="37">
    <w:name w:val="标题 2 字符"/>
    <w:qFormat/>
    <w:uiPriority w:val="0"/>
    <w:rPr>
      <w:rFonts w:ascii="Times New Roman" w:hAnsi="Times New Roman" w:eastAsia="楷体_GB2312" w:cs="楷体_GB2312"/>
      <w:sz w:val="32"/>
      <w:szCs w:val="32"/>
    </w:rPr>
  </w:style>
  <w:style w:type="paragraph" w:customStyle="1" w:styleId="38">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9">
    <w:name w:val="批注文字 字符"/>
    <w:basedOn w:val="20"/>
    <w:link w:val="12"/>
    <w:qFormat/>
    <w:uiPriority w:val="0"/>
    <w:rPr>
      <w:rFonts w:asciiTheme="minorHAnsi" w:hAnsiTheme="minorHAnsi" w:eastAsiaTheme="minorEastAsia" w:cstheme="minorBidi"/>
      <w:kern w:val="2"/>
      <w:sz w:val="21"/>
      <w:szCs w:val="22"/>
    </w:rPr>
  </w:style>
  <w:style w:type="character" w:customStyle="1" w:styleId="40">
    <w:name w:val="批注主题 字符"/>
    <w:basedOn w:val="39"/>
    <w:link w:val="18"/>
    <w:qFormat/>
    <w:uiPriority w:val="0"/>
    <w:rPr>
      <w:rFonts w:asciiTheme="minorHAnsi" w:hAnsiTheme="minorHAnsi" w:eastAsiaTheme="minorEastAsia" w:cstheme="minorBidi"/>
      <w:b/>
      <w:bCs/>
      <w:kern w:val="2"/>
      <w:sz w:val="21"/>
      <w:szCs w:val="22"/>
    </w:rPr>
  </w:style>
  <w:style w:type="character" w:customStyle="1" w:styleId="41">
    <w:name w:val="标题 2 Char5"/>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EEE196-2EEF-43EC-A027-B66C5FDE0699}">
  <ds:schemaRefs/>
</ds:datastoreItem>
</file>

<file path=docProps/app.xml><?xml version="1.0" encoding="utf-8"?>
<Properties xmlns="http://schemas.openxmlformats.org/officeDocument/2006/extended-properties" xmlns:vt="http://schemas.openxmlformats.org/officeDocument/2006/docPropsVTypes">
  <Template>Normal</Template>
  <Pages>6</Pages>
  <Words>1933</Words>
  <Characters>2029</Characters>
  <Lines>222</Lines>
  <Paragraphs>206</Paragraphs>
  <TotalTime>8</TotalTime>
  <ScaleCrop>false</ScaleCrop>
  <LinksUpToDate>false</LinksUpToDate>
  <CharactersWithSpaces>2029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2026-08-06T19:26:00Z</dcterms:created>
  <dc:creator>PPC</dc:creator>
  <cp:lastModifiedBy>LC</cp:lastModifiedBy>
  <dcterms:modified xsi:type="dcterms:W3CDTF">2026-09-08T06:42:39Z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eyJoZGlkIjoiYzdmMjEzNTYzYjA2MGI1NzAxMjAzMzIwOGQ3NzE0YmUiLCJ1c2VySWQiOiI0NTU3OTYxNDEifQ==</vt:lpwstr>
  </property>
  <property fmtid="{D5CDD505-2E9C-101B-9397-08002B2CF9AE}" pid="4" name="ICV">
    <vt:lpwstr>9FC8D072A8F34F39B6829F29D7982B03_13</vt:lpwstr>
  </property>
  <property fmtid="{D5CDD505-2E9C-101B-9397-08002B2CF9AE}" pid="5" name="附件_1">
    <vt:lpwstr>附件：</vt:lpwstr>
  </property>
</Properties>
</file>