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6D17">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eastAsia" w:ascii="方正小标宋简体" w:hAnsi="方正小标宋简体" w:eastAsia="方正小标宋简体" w:cs="方正小标宋简体"/>
          <w:color w:val="000000"/>
          <w:kern w:val="0"/>
          <w:sz w:val="44"/>
          <w:szCs w:val="44"/>
          <w:highlight w:val="none"/>
          <w:lang w:val="en-US" w:eastAsia="zh-CN" w:bidi="ar"/>
        </w:rPr>
        <w:t>珠海市科技金融综合服务平台技术升级服务项目采购需求</w:t>
      </w:r>
    </w:p>
    <w:p w14:paraId="46217931">
      <w:pPr>
        <w:pStyle w:val="2"/>
        <w:jc w:val="left"/>
        <w:rPr>
          <w:rFonts w:hint="eastAsia" w:ascii="仿宋_GB2312" w:hAnsi="仿宋_GB2312" w:eastAsia="仿宋_GB2312" w:cs="仿宋_GB2312"/>
          <w:color w:val="auto"/>
          <w:sz w:val="32"/>
          <w:szCs w:val="32"/>
          <w:highlight w:val="none"/>
          <w:lang w:val="en-US" w:eastAsia="zh-CN"/>
        </w:rPr>
      </w:pPr>
    </w:p>
    <w:p w14:paraId="169D768F">
      <w:pPr>
        <w:pStyle w:val="2"/>
        <w:spacing w:line="360" w:lineRule="auto"/>
        <w:jc w:val="left"/>
        <w:rPr>
          <w:rFonts w:hint="eastAsia"/>
          <w:lang w:val="en-US" w:eastAsia="zh-CN"/>
        </w:rPr>
      </w:pPr>
      <w:r>
        <w:rPr>
          <w:rFonts w:hint="eastAsia" w:ascii="仿宋_GB2312" w:hAnsi="仿宋_GB2312" w:eastAsia="仿宋_GB2312" w:cs="仿宋_GB2312"/>
          <w:color w:val="auto"/>
          <w:sz w:val="32"/>
          <w:szCs w:val="32"/>
          <w:highlight w:val="none"/>
          <w:lang w:val="en-US" w:eastAsia="zh-CN"/>
        </w:rPr>
        <w:t>本项目服务内容为采购针对珠海市科技金融综合服务平台赛事报名、评审模块及第三方接口对接、项目路演模块、创新成果精准筛选与转化应用模块等功能模块进行功能点升级和补充完善的软件开发服务，具体要求如下：</w:t>
      </w:r>
    </w:p>
    <w:p w14:paraId="20F96E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一、服务内容</w:t>
      </w:r>
    </w:p>
    <w:p w14:paraId="79FC78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1.赛事报名、评审模块及第三方接口对接</w:t>
      </w:r>
    </w:p>
    <w:p w14:paraId="097399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科技金融综合服务平台上升级开发赛事报名、评审模块及第三方对接接口。实现参赛企业/团队信息收集与报名功能，具体涵盖五大核心信息模块：一是基本信息模块，包含企业基本信息、人员结构、科技奖励、科技成果、企业概况；二是股东信息模块，包含企业融资经历、股东详细信息；三是核心团队模块，聚焦核心团队成员背景与能力信息；四是商业计划书模块，涵盖商业计划书文档、市场竞争分析报告、经营风险与应对策略、财务数据；五是可自行添加的补充信息模块，包含创业服务需求、其他补充材料上传等功能。</w:t>
      </w:r>
    </w:p>
    <w:p w14:paraId="6DB316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2.项目路演模块</w:t>
      </w:r>
    </w:p>
    <w:p w14:paraId="00D24F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开发项目路演专项模块，重点构建路演信息收集与报名功能体系，具体包含两大核心信息维度：一是项目路演基本信息维度，涵盖项目基本信息、人员结构、科技奖励、科技成果概况、融资经历、股东信息、核心团队详情；二是路演支撑材料维度，包含商业计划书（含文档与演示材料）、市场竞争分析、经营风险与对策方案、财务数据，以及创业服务需求说明、补充证明材料上传功能，确保路演项目信息完整、高效流转。</w:t>
      </w:r>
    </w:p>
    <w:p w14:paraId="7575970F">
      <w:pPr>
        <w:pStyle w:val="2"/>
        <w:numPr>
          <w:ilvl w:val="0"/>
          <w:numId w:val="0"/>
        </w:numPr>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3.创新成果精准筛选与转化应用模块</w:t>
      </w:r>
    </w:p>
    <w:p w14:paraId="3B60F7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主要内容：统一登录与注册、会员审核、成果科搭建、成果展示、精准匹配（自定义关键字）、匹配推送、自动化回访、标准化沟通模版、信息推送第三方接口对接。</w:t>
      </w:r>
    </w:p>
    <w:p w14:paraId="23B3C10E">
      <w:pPr>
        <w:spacing w:line="36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二、评标定标方法</w:t>
      </w:r>
    </w:p>
    <w:p w14:paraId="5BD1395E">
      <w:pPr>
        <w:pStyle w:val="2"/>
        <w:spacing w:line="36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采用综合评分法选定供应商。综合评分法是指投标响应文件满足采购公告和采购需求文档的全部要求，且按照评审因素的量化指标得分最高的供应商为成交候选人的评标定标方法（最低报价不是成交的唯一依据）。以下为本项目的具体评分要素和分值：</w:t>
      </w:r>
    </w:p>
    <w:p w14:paraId="76506F92">
      <w:pPr>
        <w:rPr>
          <w:rFonts w:hint="eastAsia"/>
          <w:lang w:val="en-US" w:eastAsia="zh-CN"/>
        </w:rPr>
      </w:pPr>
    </w:p>
    <w:p w14:paraId="05343517">
      <w:pPr>
        <w:rPr>
          <w:spacing w:val="4"/>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608643DB">
      <w:pPr>
        <w:jc w:val="center"/>
        <w:rPr>
          <w:b/>
          <w:bCs/>
          <w:sz w:val="32"/>
          <w:szCs w:val="32"/>
        </w:rPr>
      </w:pPr>
      <w:r>
        <w:rPr>
          <w:b/>
          <w:bCs/>
          <w:spacing w:val="4"/>
          <w:sz w:val="32"/>
          <w:szCs w:val="32"/>
        </w:rPr>
        <w:t>综合评分表</w:t>
      </w:r>
    </w:p>
    <w:p w14:paraId="09B6698D">
      <w:pPr>
        <w:spacing w:line="134" w:lineRule="exact"/>
      </w:pPr>
    </w:p>
    <w:tbl>
      <w:tblPr>
        <w:tblStyle w:val="12"/>
        <w:tblW w:w="50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40"/>
        <w:gridCol w:w="1624"/>
        <w:gridCol w:w="6817"/>
      </w:tblGrid>
      <w:tr w14:paraId="1272D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85" w:type="pct"/>
            <w:vAlign w:val="center"/>
          </w:tcPr>
          <w:p w14:paraId="265F8E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评审因素</w:t>
            </w:r>
          </w:p>
        </w:tc>
        <w:tc>
          <w:tcPr>
            <w:tcW w:w="4314" w:type="pct"/>
            <w:gridSpan w:val="2"/>
            <w:vAlign w:val="center"/>
          </w:tcPr>
          <w:p w14:paraId="6872B5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评审标准</w:t>
            </w:r>
          </w:p>
        </w:tc>
      </w:tr>
      <w:tr w14:paraId="1F591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85" w:type="pct"/>
            <w:vAlign w:val="center"/>
          </w:tcPr>
          <w:p w14:paraId="33E63A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分值构成</w:t>
            </w:r>
          </w:p>
        </w:tc>
        <w:tc>
          <w:tcPr>
            <w:tcW w:w="4314" w:type="pct"/>
            <w:gridSpan w:val="2"/>
            <w:vAlign w:val="center"/>
          </w:tcPr>
          <w:p w14:paraId="33B2DA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总分100分，其中技术部分：45分；商务部分</w:t>
            </w:r>
            <w:r>
              <w:rPr>
                <w:rFonts w:hint="eastAsia" w:ascii="仿宋" w:hAnsi="仿宋" w:eastAsia="仿宋" w:cs="仿宋"/>
                <w:sz w:val="24"/>
                <w:szCs w:val="24"/>
                <w:lang w:val="en-US" w:eastAsia="zh-CN"/>
              </w:rPr>
              <w:t>:</w:t>
            </w:r>
            <w:r>
              <w:rPr>
                <w:rFonts w:hint="eastAsia" w:ascii="仿宋" w:hAnsi="仿宋" w:eastAsia="仿宋" w:cs="仿宋"/>
                <w:sz w:val="24"/>
                <w:szCs w:val="24"/>
              </w:rPr>
              <w:t>40分；投标报价部分</w:t>
            </w:r>
            <w:r>
              <w:rPr>
                <w:rFonts w:hint="eastAsia" w:ascii="仿宋" w:hAnsi="仿宋" w:eastAsia="仿宋" w:cs="仿宋"/>
                <w:sz w:val="24"/>
                <w:szCs w:val="24"/>
                <w:lang w:eastAsia="zh-CN"/>
              </w:rPr>
              <w:t>：</w:t>
            </w:r>
            <w:r>
              <w:rPr>
                <w:rFonts w:hint="eastAsia" w:ascii="仿宋" w:hAnsi="仿宋" w:eastAsia="仿宋" w:cs="仿宋"/>
                <w:sz w:val="24"/>
                <w:szCs w:val="24"/>
              </w:rPr>
              <w:t>15分</w:t>
            </w:r>
          </w:p>
        </w:tc>
      </w:tr>
      <w:tr w14:paraId="75A6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685" w:type="pct"/>
            <w:vMerge w:val="restart"/>
            <w:tcBorders>
              <w:bottom w:val="nil"/>
            </w:tcBorders>
            <w:vAlign w:val="center"/>
          </w:tcPr>
          <w:p w14:paraId="513E7EFF">
            <w:pPr>
              <w:bidi w:val="0"/>
              <w:jc w:val="center"/>
              <w:rPr>
                <w:rFonts w:hint="eastAsia" w:ascii="仿宋" w:hAnsi="仿宋" w:eastAsia="仿宋" w:cs="仿宋"/>
                <w:b/>
                <w:bCs/>
                <w:sz w:val="24"/>
                <w:szCs w:val="24"/>
              </w:rPr>
            </w:pPr>
          </w:p>
          <w:p w14:paraId="2EF2B539">
            <w:pPr>
              <w:bidi w:val="0"/>
              <w:jc w:val="center"/>
              <w:rPr>
                <w:rFonts w:hint="eastAsia" w:ascii="仿宋" w:hAnsi="仿宋" w:eastAsia="仿宋" w:cs="仿宋"/>
                <w:b/>
                <w:bCs/>
                <w:sz w:val="24"/>
                <w:szCs w:val="24"/>
              </w:rPr>
            </w:pPr>
          </w:p>
          <w:p w14:paraId="27D35EC9">
            <w:pPr>
              <w:bidi w:val="0"/>
              <w:jc w:val="center"/>
              <w:rPr>
                <w:rFonts w:hint="eastAsia" w:ascii="仿宋" w:hAnsi="仿宋" w:eastAsia="仿宋" w:cs="仿宋"/>
                <w:b/>
                <w:bCs/>
                <w:sz w:val="24"/>
                <w:szCs w:val="24"/>
              </w:rPr>
            </w:pPr>
          </w:p>
          <w:p w14:paraId="484F37B5">
            <w:pPr>
              <w:bidi w:val="0"/>
              <w:jc w:val="center"/>
              <w:rPr>
                <w:rFonts w:hint="eastAsia" w:ascii="仿宋" w:hAnsi="仿宋" w:eastAsia="仿宋" w:cs="仿宋"/>
                <w:b/>
                <w:bCs/>
                <w:sz w:val="24"/>
                <w:szCs w:val="24"/>
              </w:rPr>
            </w:pPr>
          </w:p>
          <w:p w14:paraId="1560B914">
            <w:pPr>
              <w:bidi w:val="0"/>
              <w:jc w:val="center"/>
              <w:rPr>
                <w:rFonts w:hint="eastAsia" w:ascii="仿宋" w:hAnsi="仿宋" w:eastAsia="仿宋" w:cs="仿宋"/>
                <w:b/>
                <w:bCs/>
                <w:sz w:val="24"/>
                <w:szCs w:val="24"/>
              </w:rPr>
            </w:pPr>
          </w:p>
          <w:p w14:paraId="505B8059">
            <w:pPr>
              <w:bidi w:val="0"/>
              <w:jc w:val="center"/>
              <w:rPr>
                <w:rFonts w:hint="eastAsia" w:ascii="仿宋" w:hAnsi="仿宋" w:eastAsia="仿宋" w:cs="仿宋"/>
                <w:b/>
                <w:bCs/>
                <w:sz w:val="24"/>
                <w:szCs w:val="24"/>
              </w:rPr>
            </w:pPr>
          </w:p>
          <w:p w14:paraId="53C73789">
            <w:pPr>
              <w:bidi w:val="0"/>
              <w:jc w:val="center"/>
              <w:rPr>
                <w:rFonts w:hint="eastAsia" w:ascii="仿宋" w:hAnsi="仿宋" w:eastAsia="仿宋" w:cs="仿宋"/>
                <w:b/>
                <w:bCs/>
                <w:sz w:val="24"/>
                <w:szCs w:val="24"/>
              </w:rPr>
            </w:pPr>
          </w:p>
          <w:p w14:paraId="43390233">
            <w:pPr>
              <w:bidi w:val="0"/>
              <w:jc w:val="center"/>
              <w:rPr>
                <w:rFonts w:hint="eastAsia" w:ascii="仿宋" w:hAnsi="仿宋" w:eastAsia="仿宋" w:cs="仿宋"/>
                <w:b/>
                <w:bCs/>
                <w:sz w:val="24"/>
                <w:szCs w:val="24"/>
              </w:rPr>
            </w:pPr>
          </w:p>
          <w:p w14:paraId="5BC7CC2B">
            <w:pPr>
              <w:bidi w:val="0"/>
              <w:jc w:val="center"/>
              <w:rPr>
                <w:rFonts w:hint="eastAsia" w:ascii="仿宋" w:hAnsi="仿宋" w:eastAsia="仿宋" w:cs="仿宋"/>
                <w:b/>
                <w:bCs/>
                <w:sz w:val="24"/>
                <w:szCs w:val="24"/>
              </w:rPr>
            </w:pPr>
          </w:p>
          <w:p w14:paraId="02279CC4">
            <w:pPr>
              <w:bidi w:val="0"/>
              <w:jc w:val="center"/>
              <w:rPr>
                <w:rFonts w:hint="eastAsia" w:ascii="仿宋" w:hAnsi="仿宋" w:eastAsia="仿宋" w:cs="仿宋"/>
                <w:b/>
                <w:bCs/>
                <w:sz w:val="24"/>
                <w:szCs w:val="24"/>
              </w:rPr>
            </w:pPr>
          </w:p>
          <w:p w14:paraId="0B160EAF">
            <w:pPr>
              <w:bidi w:val="0"/>
              <w:jc w:val="center"/>
              <w:rPr>
                <w:rFonts w:hint="eastAsia" w:ascii="仿宋" w:hAnsi="仿宋" w:eastAsia="仿宋" w:cs="仿宋"/>
                <w:b/>
                <w:bCs/>
                <w:sz w:val="24"/>
                <w:szCs w:val="24"/>
              </w:rPr>
            </w:pPr>
          </w:p>
          <w:p w14:paraId="21B94AA4">
            <w:pPr>
              <w:bidi w:val="0"/>
              <w:jc w:val="center"/>
              <w:rPr>
                <w:rFonts w:hint="eastAsia" w:ascii="仿宋" w:hAnsi="仿宋" w:eastAsia="仿宋" w:cs="仿宋"/>
                <w:b/>
                <w:bCs/>
                <w:sz w:val="24"/>
                <w:szCs w:val="24"/>
              </w:rPr>
            </w:pPr>
          </w:p>
          <w:p w14:paraId="3B21B59E">
            <w:pPr>
              <w:bidi w:val="0"/>
              <w:jc w:val="center"/>
              <w:rPr>
                <w:rFonts w:hint="eastAsia" w:ascii="仿宋" w:hAnsi="仿宋" w:eastAsia="仿宋" w:cs="仿宋"/>
                <w:b/>
                <w:bCs/>
                <w:sz w:val="24"/>
                <w:szCs w:val="24"/>
              </w:rPr>
            </w:pPr>
          </w:p>
          <w:p w14:paraId="5A6D98B4">
            <w:pPr>
              <w:bidi w:val="0"/>
              <w:jc w:val="center"/>
              <w:rPr>
                <w:rFonts w:hint="eastAsia" w:ascii="仿宋" w:hAnsi="仿宋" w:eastAsia="仿宋" w:cs="仿宋"/>
                <w:b/>
                <w:bCs/>
                <w:sz w:val="24"/>
                <w:szCs w:val="24"/>
              </w:rPr>
            </w:pPr>
          </w:p>
          <w:p w14:paraId="51D97D02">
            <w:pPr>
              <w:bidi w:val="0"/>
              <w:jc w:val="center"/>
              <w:rPr>
                <w:rFonts w:hint="eastAsia" w:ascii="仿宋" w:hAnsi="仿宋" w:eastAsia="仿宋" w:cs="仿宋"/>
                <w:b/>
                <w:bCs/>
                <w:sz w:val="24"/>
                <w:szCs w:val="24"/>
              </w:rPr>
            </w:pPr>
          </w:p>
          <w:p w14:paraId="69C98F8F">
            <w:pPr>
              <w:bidi w:val="0"/>
              <w:jc w:val="center"/>
              <w:rPr>
                <w:rFonts w:hint="eastAsia" w:ascii="仿宋" w:hAnsi="仿宋" w:eastAsia="仿宋" w:cs="仿宋"/>
                <w:b/>
                <w:bCs/>
                <w:sz w:val="24"/>
                <w:szCs w:val="24"/>
              </w:rPr>
            </w:pPr>
          </w:p>
          <w:p w14:paraId="06649423">
            <w:pPr>
              <w:bidi w:val="0"/>
              <w:jc w:val="center"/>
              <w:rPr>
                <w:rFonts w:hint="eastAsia" w:ascii="仿宋" w:hAnsi="仿宋" w:eastAsia="仿宋" w:cs="仿宋"/>
                <w:b/>
                <w:bCs/>
                <w:sz w:val="24"/>
                <w:szCs w:val="24"/>
              </w:rPr>
            </w:pPr>
          </w:p>
          <w:p w14:paraId="5E64BF10">
            <w:pPr>
              <w:bidi w:val="0"/>
              <w:jc w:val="center"/>
              <w:rPr>
                <w:rFonts w:hint="eastAsia" w:ascii="仿宋" w:hAnsi="仿宋" w:eastAsia="仿宋" w:cs="仿宋"/>
                <w:b/>
                <w:bCs/>
                <w:sz w:val="24"/>
                <w:szCs w:val="24"/>
              </w:rPr>
            </w:pPr>
          </w:p>
          <w:p w14:paraId="165F4D7F">
            <w:pPr>
              <w:bidi w:val="0"/>
              <w:jc w:val="center"/>
              <w:rPr>
                <w:rFonts w:hint="eastAsia" w:ascii="仿宋" w:hAnsi="仿宋" w:eastAsia="仿宋" w:cs="仿宋"/>
                <w:b/>
                <w:bCs/>
                <w:sz w:val="24"/>
                <w:szCs w:val="24"/>
              </w:rPr>
            </w:pPr>
          </w:p>
          <w:p w14:paraId="63F19EC2">
            <w:pPr>
              <w:bidi w:val="0"/>
              <w:jc w:val="center"/>
              <w:rPr>
                <w:rFonts w:hint="eastAsia" w:ascii="仿宋" w:hAnsi="仿宋" w:eastAsia="仿宋" w:cs="仿宋"/>
                <w:b/>
                <w:bCs/>
                <w:sz w:val="24"/>
                <w:szCs w:val="24"/>
              </w:rPr>
            </w:pPr>
          </w:p>
          <w:p w14:paraId="63E99B25">
            <w:pPr>
              <w:bidi w:val="0"/>
              <w:jc w:val="center"/>
              <w:rPr>
                <w:rFonts w:hint="eastAsia" w:ascii="仿宋" w:hAnsi="仿宋" w:eastAsia="仿宋" w:cs="仿宋"/>
                <w:b/>
                <w:bCs/>
                <w:sz w:val="24"/>
                <w:szCs w:val="24"/>
              </w:rPr>
            </w:pPr>
          </w:p>
          <w:p w14:paraId="4CFA09EA">
            <w:pPr>
              <w:bidi w:val="0"/>
              <w:jc w:val="center"/>
              <w:rPr>
                <w:rFonts w:hint="eastAsia" w:ascii="仿宋" w:hAnsi="仿宋" w:eastAsia="仿宋" w:cs="仿宋"/>
                <w:b/>
                <w:bCs/>
                <w:sz w:val="24"/>
                <w:szCs w:val="24"/>
              </w:rPr>
            </w:pPr>
          </w:p>
          <w:p w14:paraId="282F1D8C">
            <w:pPr>
              <w:bidi w:val="0"/>
              <w:jc w:val="center"/>
              <w:rPr>
                <w:rFonts w:hint="eastAsia" w:ascii="仿宋" w:hAnsi="仿宋" w:eastAsia="仿宋" w:cs="仿宋"/>
                <w:b/>
                <w:bCs/>
                <w:sz w:val="24"/>
                <w:szCs w:val="24"/>
              </w:rPr>
            </w:pPr>
          </w:p>
          <w:p w14:paraId="1AD4CF26">
            <w:pPr>
              <w:bidi w:val="0"/>
              <w:jc w:val="center"/>
              <w:rPr>
                <w:rFonts w:hint="eastAsia" w:ascii="仿宋" w:hAnsi="仿宋" w:eastAsia="仿宋" w:cs="仿宋"/>
                <w:b/>
                <w:bCs/>
                <w:sz w:val="24"/>
                <w:szCs w:val="24"/>
              </w:rPr>
            </w:pPr>
          </w:p>
          <w:p w14:paraId="19F364C5">
            <w:pPr>
              <w:bidi w:val="0"/>
              <w:jc w:val="center"/>
              <w:rPr>
                <w:rFonts w:hint="eastAsia" w:ascii="仿宋" w:hAnsi="仿宋" w:eastAsia="仿宋" w:cs="仿宋"/>
                <w:b/>
                <w:bCs/>
                <w:sz w:val="24"/>
                <w:szCs w:val="24"/>
              </w:rPr>
            </w:pPr>
            <w:r>
              <w:rPr>
                <w:rFonts w:hint="eastAsia" w:ascii="仿宋" w:hAnsi="仿宋" w:eastAsia="仿宋" w:cs="仿宋"/>
                <w:b/>
                <w:bCs/>
                <w:sz w:val="24"/>
                <w:szCs w:val="24"/>
              </w:rPr>
              <w:t>技术部分</w:t>
            </w:r>
          </w:p>
          <w:p w14:paraId="1CB18BD7">
            <w:pPr>
              <w:bidi w:val="0"/>
              <w:jc w:val="center"/>
              <w:rPr>
                <w:rFonts w:hint="eastAsia" w:ascii="仿宋" w:hAnsi="仿宋" w:eastAsia="仿宋" w:cs="仿宋"/>
                <w:b/>
                <w:bCs/>
                <w:sz w:val="24"/>
                <w:szCs w:val="24"/>
              </w:rPr>
            </w:pPr>
            <w:r>
              <w:rPr>
                <w:rFonts w:hint="eastAsia" w:ascii="仿宋" w:hAnsi="仿宋" w:eastAsia="仿宋" w:cs="仿宋"/>
                <w:b/>
                <w:bCs/>
                <w:sz w:val="24"/>
                <w:szCs w:val="24"/>
              </w:rPr>
              <w:t>（45分）</w:t>
            </w:r>
          </w:p>
        </w:tc>
        <w:tc>
          <w:tcPr>
            <w:tcW w:w="830" w:type="pct"/>
            <w:vAlign w:val="center"/>
          </w:tcPr>
          <w:p w14:paraId="7CC59564">
            <w:pPr>
              <w:bidi w:val="0"/>
              <w:jc w:val="center"/>
              <w:rPr>
                <w:rFonts w:hint="eastAsia" w:ascii="仿宋" w:hAnsi="仿宋" w:eastAsia="仿宋" w:cs="仿宋"/>
                <w:sz w:val="24"/>
                <w:szCs w:val="24"/>
              </w:rPr>
            </w:pPr>
          </w:p>
          <w:p w14:paraId="1B6DE6F7">
            <w:pPr>
              <w:bidi w:val="0"/>
              <w:jc w:val="center"/>
              <w:rPr>
                <w:rFonts w:hint="eastAsia" w:ascii="仿宋" w:hAnsi="仿宋" w:eastAsia="仿宋" w:cs="仿宋"/>
                <w:sz w:val="24"/>
                <w:szCs w:val="24"/>
              </w:rPr>
            </w:pPr>
          </w:p>
          <w:p w14:paraId="2CB59A71">
            <w:pPr>
              <w:bidi w:val="0"/>
              <w:jc w:val="center"/>
              <w:rPr>
                <w:rFonts w:hint="eastAsia" w:ascii="仿宋" w:hAnsi="仿宋" w:eastAsia="仿宋" w:cs="仿宋"/>
                <w:sz w:val="24"/>
                <w:szCs w:val="24"/>
              </w:rPr>
            </w:pPr>
          </w:p>
          <w:p w14:paraId="4217F065">
            <w:pPr>
              <w:bidi w:val="0"/>
              <w:jc w:val="center"/>
              <w:rPr>
                <w:rFonts w:hint="eastAsia" w:ascii="仿宋" w:hAnsi="仿宋" w:eastAsia="仿宋" w:cs="仿宋"/>
                <w:sz w:val="24"/>
                <w:szCs w:val="24"/>
              </w:rPr>
            </w:pPr>
          </w:p>
          <w:p w14:paraId="6EB7B686">
            <w:pPr>
              <w:bidi w:val="0"/>
              <w:jc w:val="center"/>
              <w:rPr>
                <w:rFonts w:hint="eastAsia" w:ascii="仿宋" w:hAnsi="仿宋" w:eastAsia="仿宋" w:cs="仿宋"/>
                <w:sz w:val="24"/>
                <w:szCs w:val="24"/>
              </w:rPr>
            </w:pPr>
          </w:p>
          <w:p w14:paraId="1BBF9CF0">
            <w:pPr>
              <w:bidi w:val="0"/>
              <w:jc w:val="center"/>
              <w:rPr>
                <w:rFonts w:hint="eastAsia" w:ascii="仿宋" w:hAnsi="仿宋" w:eastAsia="仿宋" w:cs="仿宋"/>
                <w:sz w:val="24"/>
                <w:szCs w:val="24"/>
              </w:rPr>
            </w:pPr>
          </w:p>
          <w:p w14:paraId="0419A03B">
            <w:pPr>
              <w:bidi w:val="0"/>
              <w:jc w:val="center"/>
              <w:rPr>
                <w:rFonts w:hint="eastAsia" w:ascii="仿宋" w:hAnsi="仿宋" w:eastAsia="仿宋" w:cs="仿宋"/>
                <w:sz w:val="24"/>
                <w:szCs w:val="24"/>
              </w:rPr>
            </w:pPr>
          </w:p>
          <w:p w14:paraId="2942A4EF">
            <w:pPr>
              <w:bidi w:val="0"/>
              <w:jc w:val="center"/>
              <w:rPr>
                <w:rFonts w:hint="eastAsia" w:ascii="仿宋" w:hAnsi="仿宋" w:eastAsia="仿宋" w:cs="仿宋"/>
                <w:sz w:val="24"/>
                <w:szCs w:val="24"/>
              </w:rPr>
            </w:pPr>
          </w:p>
          <w:p w14:paraId="3501D333">
            <w:pPr>
              <w:bidi w:val="0"/>
              <w:jc w:val="center"/>
              <w:rPr>
                <w:rFonts w:hint="eastAsia" w:ascii="仿宋" w:hAnsi="仿宋" w:eastAsia="仿宋" w:cs="仿宋"/>
                <w:sz w:val="24"/>
                <w:szCs w:val="24"/>
              </w:rPr>
            </w:pPr>
            <w:r>
              <w:rPr>
                <w:rFonts w:hint="eastAsia" w:ascii="仿宋" w:hAnsi="仿宋" w:eastAsia="仿宋" w:cs="仿宋"/>
                <w:sz w:val="24"/>
                <w:szCs w:val="24"/>
              </w:rPr>
              <w:t>对项目需求的理解（15分）</w:t>
            </w:r>
          </w:p>
        </w:tc>
        <w:tc>
          <w:tcPr>
            <w:tcW w:w="3483" w:type="pct"/>
            <w:vAlign w:val="top"/>
          </w:tcPr>
          <w:p w14:paraId="663F2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根据供应商对该项目需求理解程度（包括但不限于对项目内容等需求的了解、掌握程度以及对本项目实施思路和实施原则等的总体规划描述）进行评分：</w:t>
            </w:r>
          </w:p>
          <w:p w14:paraId="7B2CEA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15分：能充分、准确理解项目内容，针对本项目能够提出切合实际的响应方案，方案具备良好的可扩展性和前瞻性，设计思路可行、实现措施得当的，得 15 分。</w:t>
            </w:r>
          </w:p>
          <w:p w14:paraId="0844CA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10分：较准确理解项目内容，针对本项目能够提出较切合实际的响应方案，方案具备良好的可扩展性和前瞻性，设计思路较可行、实现措施较得当的，得 10 分。</w:t>
            </w:r>
          </w:p>
          <w:p w14:paraId="147C6B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5分：基本能理解项目内容，响应方案针对性一般，方案可扩展性和前瞻性一般，设计思路基本可行，实现措施基本得当的，得 5 分。</w:t>
            </w:r>
          </w:p>
          <w:p w14:paraId="3340A4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0分：理解项目内容情况差，响应方案针对性差，方案扩展性和前瞻性差，设计思路可行性差，实现措施不得当，或未提供相关内容的，得 0 分。</w:t>
            </w:r>
          </w:p>
        </w:tc>
      </w:tr>
      <w:tr w14:paraId="18D61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685" w:type="pct"/>
            <w:vMerge w:val="continue"/>
            <w:tcBorders>
              <w:top w:val="nil"/>
            </w:tcBorders>
            <w:vAlign w:val="center"/>
          </w:tcPr>
          <w:p w14:paraId="520A1564">
            <w:pPr>
              <w:bidi w:val="0"/>
              <w:jc w:val="center"/>
              <w:rPr>
                <w:rFonts w:hint="eastAsia" w:ascii="仿宋" w:hAnsi="仿宋" w:eastAsia="仿宋" w:cs="仿宋"/>
                <w:b/>
                <w:bCs/>
                <w:sz w:val="24"/>
                <w:szCs w:val="24"/>
              </w:rPr>
            </w:pPr>
          </w:p>
        </w:tc>
        <w:tc>
          <w:tcPr>
            <w:tcW w:w="830" w:type="pct"/>
            <w:vAlign w:val="center"/>
          </w:tcPr>
          <w:p w14:paraId="070021CE">
            <w:pPr>
              <w:bidi w:val="0"/>
              <w:jc w:val="center"/>
              <w:rPr>
                <w:rFonts w:hint="eastAsia" w:ascii="仿宋" w:hAnsi="仿宋" w:eastAsia="仿宋" w:cs="仿宋"/>
                <w:sz w:val="24"/>
                <w:szCs w:val="24"/>
              </w:rPr>
            </w:pPr>
          </w:p>
          <w:p w14:paraId="078145C8">
            <w:pPr>
              <w:bidi w:val="0"/>
              <w:jc w:val="center"/>
              <w:rPr>
                <w:rFonts w:hint="eastAsia" w:ascii="仿宋" w:hAnsi="仿宋" w:eastAsia="仿宋" w:cs="仿宋"/>
                <w:sz w:val="24"/>
                <w:szCs w:val="24"/>
              </w:rPr>
            </w:pPr>
          </w:p>
          <w:p w14:paraId="600F70E6">
            <w:pPr>
              <w:bidi w:val="0"/>
              <w:jc w:val="center"/>
              <w:rPr>
                <w:rFonts w:hint="eastAsia" w:ascii="仿宋" w:hAnsi="仿宋" w:eastAsia="仿宋" w:cs="仿宋"/>
                <w:sz w:val="24"/>
                <w:szCs w:val="24"/>
              </w:rPr>
            </w:pPr>
          </w:p>
          <w:p w14:paraId="45A87701">
            <w:pPr>
              <w:bidi w:val="0"/>
              <w:jc w:val="center"/>
              <w:rPr>
                <w:rFonts w:hint="eastAsia" w:ascii="仿宋" w:hAnsi="仿宋" w:eastAsia="仿宋" w:cs="仿宋"/>
                <w:sz w:val="24"/>
                <w:szCs w:val="24"/>
              </w:rPr>
            </w:pPr>
          </w:p>
          <w:p w14:paraId="0B044D83">
            <w:pPr>
              <w:bidi w:val="0"/>
              <w:jc w:val="center"/>
              <w:rPr>
                <w:rFonts w:hint="eastAsia" w:ascii="仿宋" w:hAnsi="仿宋" w:eastAsia="仿宋" w:cs="仿宋"/>
                <w:sz w:val="24"/>
                <w:szCs w:val="24"/>
              </w:rPr>
            </w:pPr>
          </w:p>
          <w:p w14:paraId="4A4135A1">
            <w:pPr>
              <w:bidi w:val="0"/>
              <w:jc w:val="center"/>
              <w:rPr>
                <w:rFonts w:hint="eastAsia" w:ascii="仿宋" w:hAnsi="仿宋" w:eastAsia="仿宋" w:cs="仿宋"/>
                <w:sz w:val="24"/>
                <w:szCs w:val="24"/>
              </w:rPr>
            </w:pPr>
          </w:p>
          <w:p w14:paraId="31498AB5">
            <w:pPr>
              <w:bidi w:val="0"/>
              <w:jc w:val="center"/>
              <w:rPr>
                <w:rFonts w:hint="eastAsia" w:ascii="仿宋" w:hAnsi="仿宋" w:eastAsia="仿宋" w:cs="仿宋"/>
                <w:sz w:val="24"/>
                <w:szCs w:val="24"/>
              </w:rPr>
            </w:pPr>
          </w:p>
          <w:p w14:paraId="1C3AC002">
            <w:pPr>
              <w:bidi w:val="0"/>
              <w:jc w:val="center"/>
              <w:rPr>
                <w:rFonts w:hint="eastAsia" w:ascii="仿宋" w:hAnsi="仿宋" w:eastAsia="仿宋" w:cs="仿宋"/>
                <w:sz w:val="24"/>
                <w:szCs w:val="24"/>
              </w:rPr>
            </w:pPr>
            <w:r>
              <w:rPr>
                <w:rFonts w:hint="eastAsia" w:ascii="仿宋" w:hAnsi="仿宋" w:eastAsia="仿宋" w:cs="仿宋"/>
                <w:sz w:val="24"/>
                <w:szCs w:val="24"/>
              </w:rPr>
              <w:t>服务技术方案（30分）</w:t>
            </w:r>
          </w:p>
        </w:tc>
        <w:tc>
          <w:tcPr>
            <w:tcW w:w="3483" w:type="pct"/>
            <w:vAlign w:val="top"/>
          </w:tcPr>
          <w:p w14:paraId="497A06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根据供应商针对本项目采购需求制定的服务技术方案的详细全面性、先进性及可操作性，各项技术服务内容的合理性、可行性进行评分：</w:t>
            </w:r>
          </w:p>
          <w:p w14:paraId="2DFA69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30分：提供的服务技术方案全面详细，对系统的优化升级需求内容及功能点全部进行了响应，服务工作及实施内容完整清晰，完全满足或优于采购需求相关要求的，得30分；</w:t>
            </w:r>
          </w:p>
          <w:p w14:paraId="702077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20分：提供的技术服务方案比较全面，对系统的优化升级需求内容及功能点全部进行了响应，服务工作及实施内容比较清晰，满足采购需求相关要求的，得20分；</w:t>
            </w:r>
          </w:p>
          <w:p w14:paraId="44BE68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10分：提供的技术服务方案基本全面，对系统的优化升级需求内容及功能点基本进行了响应，服务工作及实施内</w:t>
            </w:r>
            <w:bookmarkStart w:id="0" w:name="_GoBack"/>
            <w:bookmarkEnd w:id="0"/>
            <w:r>
              <w:rPr>
                <w:rFonts w:hint="eastAsia" w:ascii="仿宋" w:hAnsi="仿宋" w:eastAsia="仿宋" w:cs="仿宋"/>
                <w:sz w:val="24"/>
                <w:szCs w:val="24"/>
              </w:rPr>
              <w:t>容基本清晰，仅部分满足采购需求相关要求的，得10分；</w:t>
            </w:r>
          </w:p>
          <w:p w14:paraId="1EE846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0分：提供的技术服务方案完全不适用采购需求的相关要求或者未提供相关内容的，得0分。</w:t>
            </w:r>
          </w:p>
        </w:tc>
      </w:tr>
      <w:tr w14:paraId="79ED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85" w:type="pct"/>
            <w:vMerge w:val="restart"/>
            <w:vAlign w:val="center"/>
          </w:tcPr>
          <w:p w14:paraId="23DA51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商务部分</w:t>
            </w:r>
          </w:p>
          <w:p w14:paraId="08B34F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（4</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分）</w:t>
            </w:r>
          </w:p>
        </w:tc>
        <w:tc>
          <w:tcPr>
            <w:tcW w:w="830" w:type="pct"/>
            <w:vAlign w:val="center"/>
          </w:tcPr>
          <w:p w14:paraId="6A82FC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相关项目经验（ </w:t>
            </w:r>
            <w:r>
              <w:rPr>
                <w:rFonts w:hint="eastAsia" w:ascii="仿宋" w:hAnsi="仿宋" w:eastAsia="仿宋" w:cs="仿宋"/>
                <w:sz w:val="24"/>
                <w:szCs w:val="24"/>
                <w:lang w:val="en-US" w:eastAsia="zh-CN"/>
              </w:rPr>
              <w:t>2</w:t>
            </w:r>
            <w:r>
              <w:rPr>
                <w:rFonts w:hint="eastAsia" w:ascii="仿宋" w:hAnsi="仿宋" w:eastAsia="仿宋" w:cs="仿宋"/>
                <w:sz w:val="24"/>
                <w:szCs w:val="24"/>
              </w:rPr>
              <w:t>5</w:t>
            </w:r>
            <w:r>
              <w:rPr>
                <w:rFonts w:hint="eastAsia" w:ascii="仿宋" w:hAnsi="仿宋" w:eastAsia="仿宋" w:cs="仿宋"/>
                <w:sz w:val="24"/>
                <w:szCs w:val="24"/>
                <w:lang w:eastAsia="zh-CN"/>
              </w:rPr>
              <w:t>）</w:t>
            </w:r>
          </w:p>
        </w:tc>
        <w:tc>
          <w:tcPr>
            <w:tcW w:w="3483" w:type="pct"/>
            <w:vAlign w:val="top"/>
          </w:tcPr>
          <w:p w14:paraId="0D4ACE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根据供应商自202</w:t>
            </w:r>
            <w:r>
              <w:rPr>
                <w:rFonts w:hint="eastAsia" w:ascii="仿宋" w:hAnsi="仿宋" w:eastAsia="仿宋" w:cs="仿宋"/>
                <w:sz w:val="24"/>
                <w:szCs w:val="24"/>
                <w:lang w:val="en-US" w:eastAsia="zh-CN"/>
              </w:rPr>
              <w:t>4</w:t>
            </w:r>
            <w:r>
              <w:rPr>
                <w:rFonts w:hint="eastAsia" w:ascii="仿宋" w:hAnsi="仿宋" w:eastAsia="仿宋" w:cs="仿宋"/>
                <w:sz w:val="24"/>
                <w:szCs w:val="24"/>
              </w:rPr>
              <w:t>年12月1日以来（ 以合同签订时间为准）承接过同类项目业绩（同类业绩指具有</w:t>
            </w:r>
            <w:r>
              <w:rPr>
                <w:rFonts w:hint="eastAsia" w:ascii="仿宋" w:hAnsi="仿宋" w:eastAsia="仿宋" w:cs="仿宋"/>
                <w:sz w:val="24"/>
                <w:szCs w:val="24"/>
                <w:lang w:val="en-US" w:eastAsia="zh-CN"/>
              </w:rPr>
              <w:t>科技金融</w:t>
            </w:r>
            <w:r>
              <w:rPr>
                <w:rFonts w:hint="eastAsia" w:ascii="仿宋" w:hAnsi="仿宋" w:eastAsia="仿宋" w:cs="仿宋"/>
                <w:sz w:val="24"/>
                <w:szCs w:val="24"/>
              </w:rPr>
              <w:t>平台的优化升级项目经验）的情况进行评分,每具备一项得</w:t>
            </w:r>
            <w:r>
              <w:rPr>
                <w:rFonts w:hint="eastAsia" w:ascii="仿宋" w:hAnsi="仿宋" w:eastAsia="仿宋" w:cs="仿宋"/>
                <w:sz w:val="24"/>
                <w:szCs w:val="24"/>
                <w:lang w:val="en-US" w:eastAsia="zh-CN"/>
              </w:rPr>
              <w:t>5</w:t>
            </w:r>
            <w:r>
              <w:rPr>
                <w:rFonts w:hint="eastAsia" w:ascii="仿宋" w:hAnsi="仿宋" w:eastAsia="仿宋" w:cs="仿宋"/>
                <w:sz w:val="24"/>
                <w:szCs w:val="24"/>
              </w:rPr>
              <w:t>分，最高得分</w:t>
            </w:r>
            <w:r>
              <w:rPr>
                <w:rFonts w:hint="eastAsia" w:ascii="仿宋" w:hAnsi="仿宋" w:eastAsia="仿宋" w:cs="仿宋"/>
                <w:sz w:val="24"/>
                <w:szCs w:val="24"/>
                <w:lang w:val="en-US" w:eastAsia="zh-CN"/>
              </w:rPr>
              <w:t>25</w:t>
            </w:r>
            <w:r>
              <w:rPr>
                <w:rFonts w:hint="eastAsia" w:ascii="仿宋" w:hAnsi="仿宋" w:eastAsia="仿宋" w:cs="仿宋"/>
                <w:sz w:val="24"/>
                <w:szCs w:val="24"/>
              </w:rPr>
              <w:t>分。</w:t>
            </w:r>
          </w:p>
          <w:p w14:paraId="4FFE9F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注：响应方案需提供合同关键页复印件并加盖供应商公章，未提供或者提供的证明文件不符合要求的不得分。</w:t>
            </w:r>
          </w:p>
        </w:tc>
      </w:tr>
      <w:tr w14:paraId="2A6A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2" w:hRule="atLeast"/>
        </w:trPr>
        <w:tc>
          <w:tcPr>
            <w:tcW w:w="685" w:type="pct"/>
            <w:vMerge w:val="continue"/>
            <w:vAlign w:val="center"/>
          </w:tcPr>
          <w:p w14:paraId="53ABB0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p>
        </w:tc>
        <w:tc>
          <w:tcPr>
            <w:tcW w:w="830" w:type="pct"/>
            <w:vAlign w:val="center"/>
          </w:tcPr>
          <w:p w14:paraId="3009EE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项目实施时效保障（</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c>
          <w:tcPr>
            <w:tcW w:w="3483" w:type="pct"/>
            <w:vAlign w:val="top"/>
          </w:tcPr>
          <w:p w14:paraId="683851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根据响应供应商针对本项目提供的项目进度计划、关键节点控制、工期保障措施进行评分：</w:t>
            </w:r>
          </w:p>
          <w:p w14:paraId="70B55C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15分：提供详尽、合理的项目实施计划，关键节点清晰，保障措施具体，承诺工期优于或符合项目要求的，得15分；</w:t>
            </w:r>
          </w:p>
          <w:p w14:paraId="2983BE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10分：提供较详细的项目实施计划，关键节点基本明确，保障措施较为可行，承诺工期符合项目要求的，得10分；</w:t>
            </w:r>
          </w:p>
          <w:p w14:paraId="323847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5分：提供简单的项目实施计划，关键节点不清晰，保障措施空泛，工期承诺存在不确定性的，得5分；</w:t>
            </w:r>
          </w:p>
          <w:p w14:paraId="42A1F0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0分：未提供项目实施计划和保障措施的，得0分。</w:t>
            </w:r>
          </w:p>
        </w:tc>
      </w:tr>
      <w:tr w14:paraId="4D67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685" w:type="pct"/>
            <w:vAlign w:val="center"/>
          </w:tcPr>
          <w:p w14:paraId="19D2C2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投标报价部分（15分）</w:t>
            </w:r>
          </w:p>
        </w:tc>
        <w:tc>
          <w:tcPr>
            <w:tcW w:w="830" w:type="pct"/>
            <w:vAlign w:val="center"/>
          </w:tcPr>
          <w:p w14:paraId="168394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投标报价（15 分）</w:t>
            </w:r>
          </w:p>
        </w:tc>
        <w:tc>
          <w:tcPr>
            <w:tcW w:w="3483" w:type="pct"/>
            <w:vAlign w:val="top"/>
          </w:tcPr>
          <w:p w14:paraId="2A87D3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价格分采用低价优先法计算，即满足采购公告和采购需求文档要求且最终响应价格最低的响应报价为评审基准价，其价格分为满分。其他投标人的价格分统一按照下列公式计算：</w:t>
            </w:r>
          </w:p>
          <w:p w14:paraId="25ADE2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投标报价得分=(评审基准价／投标报价) ×投标报价分值</w:t>
            </w:r>
          </w:p>
          <w:p w14:paraId="0D76D9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投标报价得分四舍五入后，小数点后保留两位有效数。最低报价不是成交的唯一依据。</w:t>
            </w:r>
          </w:p>
        </w:tc>
      </w:tr>
    </w:tbl>
    <w:p w14:paraId="516F9AF6">
      <w:pPr>
        <w:pStyle w:val="2"/>
        <w:ind w:left="0" w:leftChars="0" w:firstLine="0" w:firstLineChars="0"/>
        <w:rPr>
          <w:rFonts w:hint="default"/>
          <w:lang w:val="en-US" w:eastAsia="zh-CN"/>
        </w:rPr>
      </w:pPr>
    </w:p>
    <w:p w14:paraId="50EEBFE4"/>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D8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4558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14558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967A">
    <w:pPr>
      <w:pBdr>
        <w:bottom w:val="single" w:color="auto" w:sz="6" w:space="1"/>
      </w:pBdr>
      <w:tabs>
        <w:tab w:val="center" w:pos="4153"/>
        <w:tab w:val="right" w:pos="8306"/>
      </w:tabs>
      <w:snapToGrid w:val="0"/>
      <w:jc w:val="left"/>
      <w:rPr>
        <w:rFonts w:ascii="Calibri" w:hAnsi="Calibri"/>
        <w:sz w:val="18"/>
        <w:szCs w:val="18"/>
      </w:rPr>
    </w:pPr>
    <w:r>
      <w:rPr>
        <w:rFonts w:hint="eastAsia" w:ascii="Calibri" w:hAnsi="Calibri"/>
        <w:sz w:val="18"/>
        <w:szCs w:val="18"/>
      </w:rPr>
      <w:t xml:space="preserve">                      </w:t>
    </w:r>
    <w:r>
      <w:rPr>
        <w:rFonts w:ascii="Calibri" w:hAnsi="Calibri"/>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303DA"/>
    <w:rsid w:val="20CD6673"/>
    <w:rsid w:val="3C3C7A97"/>
    <w:rsid w:val="4EA75B41"/>
    <w:rsid w:val="52284ACC"/>
    <w:rsid w:val="76F145B8"/>
    <w:rsid w:val="7880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9"/>
    <w:qFormat/>
    <w:uiPriority w:val="0"/>
    <w:pPr>
      <w:spacing w:line="579" w:lineRule="exact"/>
      <w:ind w:firstLine="640" w:firstLineChars="200"/>
    </w:pPr>
    <w:rPr>
      <w:rFonts w:ascii="Calibri" w:hAnsi="Calibri" w:eastAsia="FangSong_GB2312" w:cs="Times New Roman"/>
    </w:rPr>
  </w:style>
  <w:style w:type="paragraph" w:customStyle="1" w:styleId="9">
    <w:name w:val="正文1"/>
    <w:basedOn w:val="10"/>
    <w:qFormat/>
    <w:uiPriority w:val="0"/>
    <w:pPr>
      <w:ind w:firstLine="708" w:firstLineChars="236"/>
    </w:pPr>
    <w:rPr>
      <w:rFonts w:ascii="FangSong_GB2312" w:hAnsi="Calibri" w:eastAsia="FangSong_GB2312" w:cs="FangSong_GB2312"/>
      <w:sz w:val="30"/>
      <w:szCs w:val="30"/>
    </w:rPr>
  </w:style>
  <w:style w:type="paragraph" w:styleId="10">
    <w:name w:val="List Paragraph"/>
    <w:basedOn w:val="1"/>
    <w:qFormat/>
    <w:uiPriority w:val="34"/>
    <w:pPr>
      <w:ind w:firstLine="420" w:firstLineChars="200"/>
    </w:pPr>
  </w:style>
  <w:style w:type="paragraph" w:customStyle="1" w:styleId="11">
    <w:name w:val="Table Text"/>
    <w:basedOn w:val="1"/>
    <w:semiHidden/>
    <w:qFormat/>
    <w:uiPriority w:val="0"/>
    <w:rPr>
      <w:rFonts w:ascii="仿宋" w:hAnsi="仿宋" w:eastAsia="仿宋" w:cs="仿宋"/>
      <w:sz w:val="19"/>
      <w:szCs w:val="19"/>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833</Words>
  <Characters>842</Characters>
  <Lines>0</Lines>
  <Paragraphs>0</Paragraphs>
  <TotalTime>43</TotalTime>
  <ScaleCrop>false</ScaleCrop>
  <LinksUpToDate>false</LinksUpToDate>
  <CharactersWithSpaces>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2026-02-09T02:33:00Z</dcterms:created>
  <dc:creator>PPC</dc:creator>
  <cp:lastModifiedBy>LC</cp:lastModifiedBy>
  <dcterms:modified xsi:type="dcterms:W3CDTF">2026-02-25T02:21:09Z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eyJoZGlkIjoiYzdmMjEzNTYzYjA2MGI1NzAxMjAzMzIwOGQ3NzE0YmUiLCJ1c2VySWQiOiI0NTU3OTYxNDEifQ==</vt:lpwstr>
  </property>
  <property fmtid="{D5CDD505-2E9C-101B-9397-08002B2CF9AE}" pid="4" name="ICV">
    <vt:lpwstr>7F85FFD388374317B6DC227FF7817CD3_12</vt:lpwstr>
  </property>
</Properties>
</file>